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67FF3" w14:textId="66F9ED2D" w:rsidR="00064E0D" w:rsidRDefault="0064771F">
      <w:r>
        <w:rPr>
          <w:noProof/>
        </w:rPr>
        <mc:AlternateContent>
          <mc:Choice Requires="wps">
            <w:drawing>
              <wp:anchor distT="45720" distB="45720" distL="114300" distR="114300" simplePos="0" relativeHeight="251661312" behindDoc="0" locked="0" layoutInCell="1" allowOverlap="1" wp14:anchorId="3A1ADF14" wp14:editId="71CC1B2E">
                <wp:simplePos x="0" y="0"/>
                <wp:positionH relativeFrom="column">
                  <wp:posOffset>3766820</wp:posOffset>
                </wp:positionH>
                <wp:positionV relativeFrom="paragraph">
                  <wp:posOffset>125730</wp:posOffset>
                </wp:positionV>
                <wp:extent cx="2360930" cy="1404620"/>
                <wp:effectExtent l="0" t="0" r="22860" b="1143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0A21236" w14:textId="211864F7" w:rsidR="0064771F" w:rsidRPr="00FF6BE9" w:rsidRDefault="0064771F" w:rsidP="0064771F">
                            <w:pPr>
                              <w:jc w:val="center"/>
                              <w:rPr>
                                <w:rFonts w:ascii="Arial" w:hAnsi="Arial" w:cs="Arial"/>
                              </w:rPr>
                            </w:pPr>
                            <w:r w:rsidRPr="00FF6BE9">
                              <w:rPr>
                                <w:rFonts w:ascii="Arial" w:hAnsi="Arial" w:cs="Arial"/>
                                <w:b/>
                                <w:bCs/>
                              </w:rPr>
                              <w:t>À</w:t>
                            </w:r>
                            <w:r w:rsidRPr="00FF6BE9">
                              <w:rPr>
                                <w:rFonts w:ascii="Arial" w:hAnsi="Arial" w:cs="Arial"/>
                              </w:rPr>
                              <w:br/>
                            </w:r>
                            <w:r w:rsidRPr="00FF6BE9">
                              <w:rPr>
                                <w:rFonts w:ascii="Arial" w:hAnsi="Arial" w:cs="Arial"/>
                                <w:b/>
                                <w:bCs/>
                              </w:rPr>
                              <w:t>Monsieur Mamoudou DIANÉ</w:t>
                            </w:r>
                            <w:r w:rsidRPr="00FF6BE9">
                              <w:rPr>
                                <w:rFonts w:ascii="Arial" w:hAnsi="Arial" w:cs="Arial"/>
                              </w:rPr>
                              <w:br/>
                              <w:t>Directeur Général du GUCEG/WFGN</w:t>
                            </w:r>
                            <w:r w:rsidRPr="00FF6BE9">
                              <w:rPr>
                                <w:rFonts w:ascii="Arial" w:hAnsi="Arial" w:cs="Arial"/>
                              </w:rPr>
                              <w:br/>
                              <w:t>Conakry – République de Guinée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A1ADF14" id="_x0000_t202" coordsize="21600,21600" o:spt="202" path="m,l,21600r21600,l21600,xe">
                <v:stroke joinstyle="miter"/>
                <v:path gradientshapeok="t" o:connecttype="rect"/>
              </v:shapetype>
              <v:shape id="Zone de texte 2" o:spid="_x0000_s1026" type="#_x0000_t202" style="position:absolute;margin-left:296.6pt;margin-top:9.9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">
                <v:textbox style="mso-fit-shape-to-text:t">
                  <w:txbxContent>
                    <w:p w14:paraId="40A21236" w14:textId="211864F7" w:rsidR="0064771F" w:rsidRPr="00FF6BE9" w:rsidRDefault="0064771F" w:rsidP="0064771F">
                      <w:pPr>
                        <w:jc w:val="center"/>
                        <w:rPr>
                          <w:rFonts w:ascii="Arial" w:hAnsi="Arial" w:cs="Arial"/>
                        </w:rPr>
                      </w:pPr>
                      <w:r w:rsidRPr="00FF6BE9">
                        <w:rPr>
                          <w:rFonts w:ascii="Arial" w:hAnsi="Arial" w:cs="Arial"/>
                          <w:b/>
                          <w:bCs/>
                        </w:rPr>
                        <w:t>À</w:t>
                      </w:r>
                      <w:r w:rsidRPr="00FF6BE9">
                        <w:rPr>
                          <w:rFonts w:ascii="Arial" w:hAnsi="Arial" w:cs="Arial"/>
                        </w:rPr>
                        <w:br/>
                      </w:r>
                      <w:r w:rsidRPr="00FF6BE9">
                        <w:rPr>
                          <w:rFonts w:ascii="Arial" w:hAnsi="Arial" w:cs="Arial"/>
                          <w:b/>
                          <w:bCs/>
                        </w:rPr>
                        <w:t>Monsieur Mamoudou DIANÉ</w:t>
                      </w:r>
                      <w:r w:rsidRPr="00FF6BE9">
                        <w:rPr>
                          <w:rFonts w:ascii="Arial" w:hAnsi="Arial" w:cs="Arial"/>
                        </w:rPr>
                        <w:br/>
                        <w:t>Directeur Général du GUCEG/WFGN</w:t>
                      </w:r>
                      <w:r w:rsidRPr="00FF6BE9">
                        <w:rPr>
                          <w:rFonts w:ascii="Arial" w:hAnsi="Arial" w:cs="Arial"/>
                        </w:rPr>
                        <w:br/>
                        <w:t>Conakry – République de Guinée</w:t>
                      </w:r>
                    </w:p>
                  </w:txbxContent>
                </v:textbox>
                <w10:wrap type="square"/>
              </v:shape>
            </w:pict>
          </mc:Fallback>
        </mc:AlternateContent>
      </w:r>
    </w:p>
    <w:p w14:paraId="591CCA92" w14:textId="77777777" w:rsidR="009F2D12" w:rsidRPr="009F2D12" w:rsidRDefault="009F2D12" w:rsidP="009F2D12"/>
    <w:p w14:paraId="112F86DB" w14:textId="7CB70B93" w:rsidR="009F2D12" w:rsidRPr="009F2D12" w:rsidRDefault="009F2D12" w:rsidP="009F2D12"/>
    <w:p w14:paraId="4C655CFD" w14:textId="77777777" w:rsidR="009F2D12" w:rsidRPr="009F2D12" w:rsidRDefault="009F2D12" w:rsidP="009F2D12"/>
    <w:p w14:paraId="7D6C039F" w14:textId="3D276866" w:rsidR="009F2D12" w:rsidRPr="009F2D12" w:rsidRDefault="009F2D12" w:rsidP="009F2D12"/>
    <w:p w14:paraId="025EFB95" w14:textId="0B0B3313" w:rsidR="009F2D12" w:rsidRDefault="009F2D12" w:rsidP="009F2D12">
      <w:pPr>
        <w:tabs>
          <w:tab w:val="left" w:pos="1020"/>
        </w:tabs>
      </w:pPr>
    </w:p>
    <w:p w14:paraId="452EE31E" w14:textId="1B2B2C33" w:rsidR="0094019F" w:rsidRDefault="0094019F" w:rsidP="0094019F">
      <w:pPr>
        <w:tabs>
          <w:tab w:val="left" w:pos="1530"/>
        </w:tabs>
      </w:pPr>
      <w:r w:rsidRPr="00FF6BE9">
        <w:rPr>
          <w:rFonts w:ascii="Arial" w:hAnsi="Arial" w:cs="Arial"/>
          <w:b/>
          <w:bCs/>
        </w:rPr>
        <w:t>Objet :</w:t>
      </w:r>
      <w:r>
        <w:t xml:space="preserve"> </w:t>
      </w:r>
      <w:r w:rsidRPr="00FF6BE9">
        <w:rPr>
          <w:rFonts w:ascii="Arial" w:hAnsi="Arial" w:cs="Arial"/>
          <w:b/>
          <w:bCs/>
        </w:rPr>
        <w:t xml:space="preserve">Mise en demeure de payer la somme de 2 696 003 637 </w:t>
      </w:r>
      <w:proofErr w:type="spellStart"/>
      <w:r w:rsidRPr="00FF6BE9">
        <w:rPr>
          <w:rFonts w:ascii="Arial" w:hAnsi="Arial" w:cs="Arial"/>
          <w:b/>
          <w:bCs/>
        </w:rPr>
        <w:t>gnf</w:t>
      </w:r>
      <w:proofErr w:type="spellEnd"/>
      <w:r w:rsidRPr="00FF6BE9">
        <w:rPr>
          <w:rFonts w:ascii="Arial" w:hAnsi="Arial" w:cs="Arial"/>
          <w:b/>
          <w:bCs/>
        </w:rPr>
        <w:t xml:space="preserve"> et demande de réparation des préjudices subis par MT SOLUTIONS</w:t>
      </w:r>
    </w:p>
    <w:p w14:paraId="01F338BC" w14:textId="77777777" w:rsidR="0094019F" w:rsidRDefault="0094019F" w:rsidP="0094019F"/>
    <w:p w14:paraId="687B2EFA" w14:textId="7011D923" w:rsidR="0094019F" w:rsidRPr="00FF6BE9" w:rsidRDefault="0094019F" w:rsidP="0094019F">
      <w:pPr>
        <w:rPr>
          <w:rFonts w:ascii="Arial" w:hAnsi="Arial" w:cs="Arial"/>
          <w:b/>
          <w:bCs/>
        </w:rPr>
      </w:pPr>
      <w:r>
        <w:t xml:space="preserve"> </w:t>
      </w:r>
      <w:r w:rsidRPr="00FF6BE9">
        <w:rPr>
          <w:rFonts w:ascii="Arial" w:hAnsi="Arial" w:cs="Arial"/>
          <w:b/>
          <w:bCs/>
        </w:rPr>
        <w:t>Références :</w:t>
      </w:r>
    </w:p>
    <w:p w14:paraId="57B7F1F9" w14:textId="58EC93E9" w:rsidR="0094019F" w:rsidRPr="00FF6BE9" w:rsidRDefault="0094019F" w:rsidP="00FF6BE9">
      <w:pPr>
        <w:pStyle w:val="Paragraphedeliste"/>
        <w:numPr>
          <w:ilvl w:val="0"/>
          <w:numId w:val="9"/>
        </w:numPr>
        <w:rPr>
          <w:rFonts w:ascii="Arial" w:hAnsi="Arial" w:cs="Arial"/>
        </w:rPr>
      </w:pPr>
      <w:r w:rsidRPr="00FF6BE9">
        <w:rPr>
          <w:rFonts w:ascii="Arial" w:hAnsi="Arial" w:cs="Arial"/>
        </w:rPr>
        <w:t>Contrat N° 01/2023/GUCEG relatif à l’aménagement du nouveau siège du GUCEG ;</w:t>
      </w:r>
    </w:p>
    <w:p w14:paraId="3E757091" w14:textId="090E7CE0" w:rsidR="0094019F" w:rsidRPr="00FF6BE9" w:rsidRDefault="0094019F" w:rsidP="00FF6BE9">
      <w:pPr>
        <w:pStyle w:val="Paragraphedeliste"/>
        <w:numPr>
          <w:ilvl w:val="0"/>
          <w:numId w:val="9"/>
        </w:numPr>
        <w:rPr>
          <w:rFonts w:ascii="Arial" w:hAnsi="Arial" w:cs="Arial"/>
        </w:rPr>
      </w:pPr>
      <w:r w:rsidRPr="00FF6BE9">
        <w:rPr>
          <w:rFonts w:ascii="Arial" w:hAnsi="Arial" w:cs="Arial"/>
        </w:rPr>
        <w:t>Proposition commerciale PR2312-0771 ;</w:t>
      </w:r>
    </w:p>
    <w:p w14:paraId="2A89B22C" w14:textId="4C5C9EF6" w:rsidR="0094019F" w:rsidRPr="00FF6BE9" w:rsidRDefault="0094019F" w:rsidP="00FF6BE9">
      <w:pPr>
        <w:pStyle w:val="Paragraphedeliste"/>
        <w:numPr>
          <w:ilvl w:val="0"/>
          <w:numId w:val="9"/>
        </w:numPr>
        <w:rPr>
          <w:rFonts w:ascii="Arial" w:hAnsi="Arial" w:cs="Arial"/>
        </w:rPr>
      </w:pPr>
      <w:r w:rsidRPr="00FF6BE9">
        <w:rPr>
          <w:rFonts w:ascii="Arial" w:hAnsi="Arial" w:cs="Arial"/>
        </w:rPr>
        <w:t>Facture FA2401-0447 ;</w:t>
      </w:r>
    </w:p>
    <w:p w14:paraId="0233D69A" w14:textId="7DB9EA37" w:rsidR="0094019F" w:rsidRPr="00FF6BE9" w:rsidRDefault="0094019F" w:rsidP="0094019F">
      <w:pPr>
        <w:pStyle w:val="Paragraphedeliste"/>
        <w:numPr>
          <w:ilvl w:val="0"/>
          <w:numId w:val="9"/>
        </w:numPr>
        <w:rPr>
          <w:rFonts w:ascii="Arial" w:hAnsi="Arial" w:cs="Arial"/>
        </w:rPr>
      </w:pPr>
      <w:r w:rsidRPr="00FF6BE9">
        <w:rPr>
          <w:rFonts w:ascii="Arial" w:hAnsi="Arial" w:cs="Arial"/>
        </w:rPr>
        <w:t>Procès-verbal de réception définitive du 7 juin 2024.</w:t>
      </w:r>
    </w:p>
    <w:p w14:paraId="3C54D148" w14:textId="75C19808" w:rsidR="00FF6BE9" w:rsidRPr="00FF6BE9" w:rsidRDefault="0094019F" w:rsidP="0094019F">
      <w:pPr>
        <w:rPr>
          <w:rFonts w:ascii="Arial" w:hAnsi="Arial" w:cs="Arial"/>
          <w:b/>
          <w:bCs/>
        </w:rPr>
      </w:pPr>
      <w:r w:rsidRPr="00FF6BE9">
        <w:rPr>
          <w:rFonts w:ascii="Arial" w:hAnsi="Arial" w:cs="Arial"/>
        </w:rPr>
        <w:t xml:space="preserve">             </w:t>
      </w:r>
      <w:r w:rsidRPr="00FF6BE9">
        <w:rPr>
          <w:rFonts w:ascii="Arial" w:hAnsi="Arial" w:cs="Arial"/>
          <w:b/>
          <w:bCs/>
        </w:rPr>
        <w:t>Monsieur le Directeur Général,</w:t>
      </w:r>
    </w:p>
    <w:p w14:paraId="524ACB6D" w14:textId="77777777" w:rsidR="00FF6BE9" w:rsidRPr="00FF6BE9" w:rsidRDefault="00FF6BE9" w:rsidP="00FF6BE9">
      <w:pPr>
        <w:rPr>
          <w:rFonts w:ascii="Arial" w:hAnsi="Arial" w:cs="Arial"/>
        </w:rPr>
      </w:pPr>
      <w:r w:rsidRPr="00FF6BE9">
        <w:rPr>
          <w:rFonts w:ascii="Arial" w:hAnsi="Arial" w:cs="Arial"/>
        </w:rPr>
        <w:t>Par la présente, nous vous faisons part de notre profonde préoccupation face au préjudice considérable causé à notre société, MT SOLUTIONS, par le non-paiement intégral des travaux d’aménagement du nouveau siège du GUCEG à Kaloum.</w:t>
      </w:r>
    </w:p>
    <w:p w14:paraId="1A6B0478" w14:textId="77777777" w:rsidR="00FF6BE9" w:rsidRPr="00FF6BE9" w:rsidRDefault="00FF6BE9" w:rsidP="00FF6BE9">
      <w:pPr>
        <w:rPr>
          <w:rFonts w:ascii="Arial" w:hAnsi="Arial" w:cs="Arial"/>
        </w:rPr>
      </w:pPr>
      <w:r w:rsidRPr="00FF6BE9">
        <w:rPr>
          <w:rFonts w:ascii="Arial" w:hAnsi="Arial" w:cs="Arial"/>
        </w:rPr>
        <w:t>Aux termes du contrat n° 01/2023/GUCEG, MT SOLUTIONS s’est engagée à exécuter l’ensemble des travaux d’aménagement conformément aux prescriptions techniques et aux exigences du GUCEG.</w:t>
      </w:r>
    </w:p>
    <w:p w14:paraId="16972A57" w14:textId="77777777" w:rsidR="00FF6BE9" w:rsidRPr="00FF6BE9" w:rsidRDefault="00FF6BE9" w:rsidP="00FF6BE9">
      <w:pPr>
        <w:rPr>
          <w:rFonts w:ascii="Arial" w:hAnsi="Arial" w:cs="Arial"/>
        </w:rPr>
      </w:pPr>
      <w:r w:rsidRPr="00FF6BE9">
        <w:rPr>
          <w:rFonts w:ascii="Arial" w:hAnsi="Arial" w:cs="Arial"/>
        </w:rPr>
        <w:t>Malgré l’absence de paiement de l’acompte contractuellement prévu, notre entreprise a mobilisé sur ses propres ressources les moyens humains, matériels, techniques et financiers nécessaires pour exécuter le marché dans son intégralité.</w:t>
      </w:r>
    </w:p>
    <w:p w14:paraId="40400EAB" w14:textId="77777777" w:rsidR="00FF6BE9" w:rsidRPr="00FF6BE9" w:rsidRDefault="00FF6BE9" w:rsidP="00FF6BE9">
      <w:pPr>
        <w:rPr>
          <w:rFonts w:ascii="Arial" w:hAnsi="Arial" w:cs="Arial"/>
        </w:rPr>
      </w:pPr>
      <w:r w:rsidRPr="00FF6BE9">
        <w:rPr>
          <w:rFonts w:ascii="Arial" w:hAnsi="Arial" w:cs="Arial"/>
        </w:rPr>
        <w:t>Les travaux ont été entièrement réalisés et ont fait l’objet d’une réception définitive sans réserve le 7 juin 2024. Le procès-verbal signé par les représentants des parties confirme expressément l’exécution de la totalité des lots contractuels et fixe la valeur totale du contrat à :</w:t>
      </w:r>
    </w:p>
    <w:p w14:paraId="747F7F66" w14:textId="77777777" w:rsidR="00FF6BE9" w:rsidRPr="00FF6BE9" w:rsidRDefault="00FF6BE9" w:rsidP="00FF6BE9">
      <w:pPr>
        <w:rPr>
          <w:rFonts w:ascii="Arial" w:hAnsi="Arial" w:cs="Arial"/>
        </w:rPr>
      </w:pPr>
      <w:hyperlink r:id="rId7" w:tgtFrame="_blank" w:history="1">
        <w:r w:rsidRPr="00FF6BE9">
          <w:rPr>
            <w:rStyle w:val="Lienhypertexte"/>
            <w:rFonts w:ascii="Arial" w:hAnsi="Arial" w:cs="Arial"/>
            <w:b/>
            <w:bCs/>
          </w:rPr>
          <w:t>2 696 003 637</w:t>
        </w:r>
      </w:hyperlink>
      <w:r w:rsidRPr="00FF6BE9">
        <w:rPr>
          <w:rFonts w:ascii="Arial" w:hAnsi="Arial" w:cs="Arial"/>
          <w:b/>
          <w:bCs/>
        </w:rPr>
        <w:t> GNF</w:t>
      </w:r>
      <w:r w:rsidRPr="00FF6BE9">
        <w:rPr>
          <w:rFonts w:ascii="Arial" w:hAnsi="Arial" w:cs="Arial"/>
        </w:rPr>
        <w:br/>
      </w:r>
      <w:r w:rsidRPr="00FF6BE9">
        <w:rPr>
          <w:rFonts w:ascii="Arial" w:hAnsi="Arial" w:cs="Arial"/>
          <w:b/>
          <w:bCs/>
        </w:rPr>
        <w:t>(Deux milliards six cent quatre-vingt-seize millions trois mille six cent trente-sept francs guinéens).</w:t>
      </w:r>
    </w:p>
    <w:p w14:paraId="5A475E9E" w14:textId="77777777" w:rsidR="00FF6BE9" w:rsidRPr="00FF6BE9" w:rsidRDefault="00FF6BE9" w:rsidP="00FF6BE9">
      <w:pPr>
        <w:rPr>
          <w:rFonts w:ascii="Arial" w:hAnsi="Arial" w:cs="Arial"/>
        </w:rPr>
      </w:pPr>
      <w:r w:rsidRPr="00FF6BE9">
        <w:rPr>
          <w:rFonts w:ascii="Arial" w:hAnsi="Arial" w:cs="Arial"/>
        </w:rPr>
        <w:lastRenderedPageBreak/>
        <w:t>À ce jour, et malgré l’exécution complète des prestations ainsi que leur réception définitive, </w:t>
      </w:r>
      <w:r w:rsidRPr="00FF6BE9">
        <w:rPr>
          <w:rFonts w:ascii="Arial" w:hAnsi="Arial" w:cs="Arial"/>
          <w:b/>
          <w:bCs/>
        </w:rPr>
        <w:t>aucun règlement n’a été effectué par le GUCEG au profit de MT SOLUTIONS</w:t>
      </w:r>
      <w:r w:rsidRPr="00FF6BE9">
        <w:rPr>
          <w:rFonts w:ascii="Arial" w:hAnsi="Arial" w:cs="Arial"/>
        </w:rPr>
        <w:t>.</w:t>
      </w:r>
    </w:p>
    <w:p w14:paraId="7F05C942" w14:textId="77777777" w:rsidR="00FF6BE9" w:rsidRPr="00FF6BE9" w:rsidRDefault="00FF6BE9" w:rsidP="00FF6BE9">
      <w:pPr>
        <w:rPr>
          <w:rFonts w:ascii="Arial" w:hAnsi="Arial" w:cs="Arial"/>
        </w:rPr>
      </w:pPr>
      <w:r w:rsidRPr="00FF6BE9">
        <w:rPr>
          <w:rFonts w:ascii="Arial" w:hAnsi="Arial" w:cs="Arial"/>
        </w:rPr>
        <w:t>La totalité du montant contractuel, soit </w:t>
      </w:r>
      <w:hyperlink r:id="rId8" w:tgtFrame="_blank" w:history="1">
        <w:r w:rsidRPr="00FF6BE9">
          <w:rPr>
            <w:rStyle w:val="Lienhypertexte"/>
            <w:rFonts w:ascii="Arial" w:hAnsi="Arial" w:cs="Arial"/>
            <w:b/>
            <w:bCs/>
          </w:rPr>
          <w:t>2 696 003 637</w:t>
        </w:r>
      </w:hyperlink>
      <w:r w:rsidRPr="00FF6BE9">
        <w:rPr>
          <w:rFonts w:ascii="Arial" w:hAnsi="Arial" w:cs="Arial"/>
          <w:b/>
          <w:bCs/>
        </w:rPr>
        <w:t> GNF</w:t>
      </w:r>
      <w:r w:rsidRPr="00FF6BE9">
        <w:rPr>
          <w:rFonts w:ascii="Arial" w:hAnsi="Arial" w:cs="Arial"/>
        </w:rPr>
        <w:t>, demeure donc impayée.</w:t>
      </w:r>
    </w:p>
    <w:p w14:paraId="1C06DE77" w14:textId="77777777" w:rsidR="00FF6BE9" w:rsidRPr="00FF6BE9" w:rsidRDefault="00FF6BE9" w:rsidP="00FF6BE9">
      <w:pPr>
        <w:rPr>
          <w:rFonts w:ascii="Arial" w:hAnsi="Arial" w:cs="Arial"/>
        </w:rPr>
      </w:pPr>
      <w:r w:rsidRPr="00FF6BE9">
        <w:rPr>
          <w:rFonts w:ascii="Arial" w:hAnsi="Arial" w:cs="Arial"/>
        </w:rPr>
        <w:t>Cette situation constitue un manquement manifeste du GUCEG à ses obligations contractuelles, notamment à l’article IV du contrat, aux termes duquel le client s’est expressément engagé à payer le montant de la prestation conformément aux échéances convenues.</w:t>
      </w:r>
    </w:p>
    <w:p w14:paraId="4E914DE0" w14:textId="77777777" w:rsidR="00FF6BE9" w:rsidRPr="00FF6BE9" w:rsidRDefault="00FF6BE9" w:rsidP="00FF6BE9">
      <w:pPr>
        <w:rPr>
          <w:rFonts w:ascii="Arial" w:hAnsi="Arial" w:cs="Arial"/>
        </w:rPr>
      </w:pPr>
      <w:r w:rsidRPr="00FF6BE9">
        <w:rPr>
          <w:rFonts w:ascii="Arial" w:hAnsi="Arial" w:cs="Arial"/>
        </w:rPr>
        <w:t>Le contrat prévoyait notamment :</w:t>
      </w:r>
    </w:p>
    <w:p w14:paraId="376571A1" w14:textId="78799D9E" w:rsidR="00FF6BE9" w:rsidRPr="00FF6BE9" w:rsidRDefault="00FF6BE9" w:rsidP="00FF6BE9">
      <w:pPr>
        <w:numPr>
          <w:ilvl w:val="0"/>
          <w:numId w:val="5"/>
        </w:numPr>
        <w:rPr>
          <w:rFonts w:ascii="Arial" w:hAnsi="Arial" w:cs="Arial"/>
        </w:rPr>
      </w:pPr>
      <w:r w:rsidRPr="00FF6BE9">
        <w:rPr>
          <w:rFonts w:ascii="Arial" w:hAnsi="Arial" w:cs="Arial"/>
        </w:rPr>
        <w:t>Le versement d’un acompte de 30 % après la signature du contrat et du bon de commande ;</w:t>
      </w:r>
    </w:p>
    <w:p w14:paraId="49C4EC81" w14:textId="698A8625" w:rsidR="00FF6BE9" w:rsidRPr="00FF6BE9" w:rsidRDefault="00FF6BE9" w:rsidP="00FF6BE9">
      <w:pPr>
        <w:numPr>
          <w:ilvl w:val="0"/>
          <w:numId w:val="5"/>
        </w:numPr>
        <w:rPr>
          <w:rFonts w:ascii="Arial" w:hAnsi="Arial" w:cs="Arial"/>
        </w:rPr>
      </w:pPr>
      <w:r w:rsidRPr="00FF6BE9">
        <w:rPr>
          <w:rFonts w:ascii="Arial" w:hAnsi="Arial" w:cs="Arial"/>
        </w:rPr>
        <w:t>Un second paiement de 30 % trente jours après le lancement des travaux ;</w:t>
      </w:r>
    </w:p>
    <w:p w14:paraId="22B1E17D" w14:textId="2B8EB8C3" w:rsidR="00FF6BE9" w:rsidRPr="00FF6BE9" w:rsidRDefault="00FF6BE9" w:rsidP="00FF6BE9">
      <w:pPr>
        <w:numPr>
          <w:ilvl w:val="0"/>
          <w:numId w:val="5"/>
        </w:numPr>
        <w:rPr>
          <w:rFonts w:ascii="Arial" w:hAnsi="Arial" w:cs="Arial"/>
        </w:rPr>
      </w:pPr>
      <w:r w:rsidRPr="00FF6BE9">
        <w:rPr>
          <w:rFonts w:ascii="Arial" w:hAnsi="Arial" w:cs="Arial"/>
        </w:rPr>
        <w:t>Un paiement de 25 % soixante jours après le lancement des travaux ;</w:t>
      </w:r>
    </w:p>
    <w:p w14:paraId="1D243CF9" w14:textId="4C525657" w:rsidR="00FF6BE9" w:rsidRPr="00FF6BE9" w:rsidRDefault="00FF6BE9" w:rsidP="00FF6BE9">
      <w:pPr>
        <w:numPr>
          <w:ilvl w:val="0"/>
          <w:numId w:val="5"/>
        </w:numPr>
        <w:rPr>
          <w:rFonts w:ascii="Arial" w:hAnsi="Arial" w:cs="Arial"/>
        </w:rPr>
      </w:pPr>
      <w:r w:rsidRPr="00FF6BE9">
        <w:rPr>
          <w:rFonts w:ascii="Arial" w:hAnsi="Arial" w:cs="Arial"/>
        </w:rPr>
        <w:t>Le règlement de la retenue liée à la réception définitive après signature du procès-verbal.</w:t>
      </w:r>
    </w:p>
    <w:p w14:paraId="1243D7A7" w14:textId="77777777" w:rsidR="00FF6BE9" w:rsidRPr="00FF6BE9" w:rsidRDefault="00FF6BE9" w:rsidP="00FF6BE9">
      <w:pPr>
        <w:rPr>
          <w:rFonts w:ascii="Arial" w:hAnsi="Arial" w:cs="Arial"/>
        </w:rPr>
      </w:pPr>
      <w:r w:rsidRPr="00FF6BE9">
        <w:rPr>
          <w:rFonts w:ascii="Arial" w:hAnsi="Arial" w:cs="Arial"/>
        </w:rPr>
        <w:t>Aucune de ces échéances n’a été respectée.</w:t>
      </w:r>
    </w:p>
    <w:p w14:paraId="4FB4E82D" w14:textId="77777777" w:rsidR="00FF6BE9" w:rsidRPr="00FF6BE9" w:rsidRDefault="00FF6BE9" w:rsidP="00FF6BE9">
      <w:pPr>
        <w:rPr>
          <w:rFonts w:ascii="Arial" w:hAnsi="Arial" w:cs="Arial"/>
        </w:rPr>
      </w:pPr>
      <w:r w:rsidRPr="00FF6BE9">
        <w:rPr>
          <w:rFonts w:ascii="Arial" w:hAnsi="Arial" w:cs="Arial"/>
        </w:rPr>
        <w:t>MT SOLUTIONS a ainsi préfinancé, sur ses ressources propres et pendant plusieurs années, un marché intégralement exécuté au bénéfice du GUCEG. Pendant cette même période, le GUCEG a occupé et exploité les locaux aménagés sans régler la moindre somme à notre entreprise.</w:t>
      </w:r>
    </w:p>
    <w:p w14:paraId="6A3BDD43" w14:textId="77777777" w:rsidR="00FF6BE9" w:rsidRPr="00FF6BE9" w:rsidRDefault="00FF6BE9" w:rsidP="00FF6BE9">
      <w:pPr>
        <w:rPr>
          <w:rFonts w:ascii="Arial" w:hAnsi="Arial" w:cs="Arial"/>
        </w:rPr>
      </w:pPr>
      <w:r w:rsidRPr="00FF6BE9">
        <w:rPr>
          <w:rFonts w:ascii="Arial" w:hAnsi="Arial" w:cs="Arial"/>
        </w:rPr>
        <w:t>Le non-paiement prolongé de cette créance a placé MT SOLUTIONS dans une situation financière particulièrement difficile et lui a occasionné d’importants préjudices, notamment :</w:t>
      </w:r>
    </w:p>
    <w:p w14:paraId="15A44828" w14:textId="0FF692EA" w:rsidR="00FF6BE9" w:rsidRPr="00FF6BE9" w:rsidRDefault="00FF6BE9" w:rsidP="00FF6BE9">
      <w:pPr>
        <w:numPr>
          <w:ilvl w:val="0"/>
          <w:numId w:val="6"/>
        </w:numPr>
        <w:rPr>
          <w:rFonts w:ascii="Arial" w:hAnsi="Arial" w:cs="Arial"/>
        </w:rPr>
      </w:pPr>
      <w:r w:rsidRPr="00FF6BE9">
        <w:rPr>
          <w:rFonts w:ascii="Arial" w:hAnsi="Arial" w:cs="Arial"/>
        </w:rPr>
        <w:t>L’immobilisation de la totalité des fonds engagés dans l’exécution du marché ;</w:t>
      </w:r>
    </w:p>
    <w:p w14:paraId="5A70E0D3" w14:textId="12D49E25" w:rsidR="00FF6BE9" w:rsidRPr="00FF6BE9" w:rsidRDefault="00FF6BE9" w:rsidP="00FF6BE9">
      <w:pPr>
        <w:numPr>
          <w:ilvl w:val="0"/>
          <w:numId w:val="6"/>
        </w:numPr>
        <w:rPr>
          <w:rFonts w:ascii="Arial" w:hAnsi="Arial" w:cs="Arial"/>
        </w:rPr>
      </w:pPr>
      <w:r w:rsidRPr="00FF6BE9">
        <w:rPr>
          <w:rFonts w:ascii="Arial" w:hAnsi="Arial" w:cs="Arial"/>
        </w:rPr>
        <w:t>Une grave dégradation de sa trésorerie ;</w:t>
      </w:r>
    </w:p>
    <w:p w14:paraId="376DE4A1" w14:textId="4A94BD4B" w:rsidR="00FF6BE9" w:rsidRPr="00FF6BE9" w:rsidRDefault="00FF6BE9" w:rsidP="00FF6BE9">
      <w:pPr>
        <w:numPr>
          <w:ilvl w:val="0"/>
          <w:numId w:val="6"/>
        </w:numPr>
        <w:rPr>
          <w:rFonts w:ascii="Arial" w:hAnsi="Arial" w:cs="Arial"/>
        </w:rPr>
      </w:pPr>
      <w:r w:rsidRPr="00FF6BE9">
        <w:rPr>
          <w:rFonts w:ascii="Arial" w:hAnsi="Arial" w:cs="Arial"/>
        </w:rPr>
        <w:t>Des frais bancaires, agios et charges financières supplémentaires ;</w:t>
      </w:r>
    </w:p>
    <w:p w14:paraId="0DE8D67F" w14:textId="67AFE303" w:rsidR="00FF6BE9" w:rsidRPr="00FF6BE9" w:rsidRDefault="00FF6BE9" w:rsidP="00FF6BE9">
      <w:pPr>
        <w:numPr>
          <w:ilvl w:val="0"/>
          <w:numId w:val="6"/>
        </w:numPr>
        <w:rPr>
          <w:rFonts w:ascii="Arial" w:hAnsi="Arial" w:cs="Arial"/>
        </w:rPr>
      </w:pPr>
      <w:r w:rsidRPr="00FF6BE9">
        <w:rPr>
          <w:rFonts w:ascii="Arial" w:hAnsi="Arial" w:cs="Arial"/>
        </w:rPr>
        <w:t>Des difficultés à régler ses fournisseurs, sous-traitants et salariés ;</w:t>
      </w:r>
    </w:p>
    <w:p w14:paraId="38799017" w14:textId="0AD1DE0E" w:rsidR="00FF6BE9" w:rsidRPr="00FF6BE9" w:rsidRDefault="00FF6BE9" w:rsidP="00FF6BE9">
      <w:pPr>
        <w:numPr>
          <w:ilvl w:val="0"/>
          <w:numId w:val="6"/>
        </w:numPr>
        <w:rPr>
          <w:rFonts w:ascii="Arial" w:hAnsi="Arial" w:cs="Arial"/>
        </w:rPr>
      </w:pPr>
      <w:r w:rsidRPr="00FF6BE9">
        <w:rPr>
          <w:rFonts w:ascii="Arial" w:hAnsi="Arial" w:cs="Arial"/>
        </w:rPr>
        <w:t>Une perte de capacité financière pour répondre à d’autres marchés ;</w:t>
      </w:r>
    </w:p>
    <w:p w14:paraId="2A99A6E9" w14:textId="3638104D" w:rsidR="00FF6BE9" w:rsidRPr="00FF6BE9" w:rsidRDefault="00FF6BE9" w:rsidP="00FF6BE9">
      <w:pPr>
        <w:numPr>
          <w:ilvl w:val="0"/>
          <w:numId w:val="6"/>
        </w:numPr>
        <w:rPr>
          <w:rFonts w:ascii="Arial" w:hAnsi="Arial" w:cs="Arial"/>
        </w:rPr>
      </w:pPr>
      <w:r w:rsidRPr="00FF6BE9">
        <w:rPr>
          <w:rFonts w:ascii="Arial" w:hAnsi="Arial" w:cs="Arial"/>
        </w:rPr>
        <w:t>Des pertes d’opportunités commerciales et de chiffre d’affaires ;</w:t>
      </w:r>
    </w:p>
    <w:p w14:paraId="63A50957" w14:textId="75A8BA16" w:rsidR="00FF6BE9" w:rsidRPr="00FF6BE9" w:rsidRDefault="00FF6BE9" w:rsidP="00FF6BE9">
      <w:pPr>
        <w:numPr>
          <w:ilvl w:val="0"/>
          <w:numId w:val="6"/>
        </w:numPr>
        <w:rPr>
          <w:rFonts w:ascii="Arial" w:hAnsi="Arial" w:cs="Arial"/>
        </w:rPr>
      </w:pPr>
      <w:r w:rsidRPr="00FF6BE9">
        <w:rPr>
          <w:rFonts w:ascii="Arial" w:hAnsi="Arial" w:cs="Arial"/>
        </w:rPr>
        <w:t>Une atteinte à son crédit et à sa réputation auprès de ses partenaires ;</w:t>
      </w:r>
    </w:p>
    <w:p w14:paraId="4D64407F" w14:textId="14E5CC66" w:rsidR="00FF6BE9" w:rsidRPr="00FF6BE9" w:rsidRDefault="00FF6BE9" w:rsidP="00FF6BE9">
      <w:pPr>
        <w:numPr>
          <w:ilvl w:val="0"/>
          <w:numId w:val="6"/>
        </w:numPr>
        <w:rPr>
          <w:rFonts w:ascii="Arial" w:hAnsi="Arial" w:cs="Arial"/>
        </w:rPr>
      </w:pPr>
      <w:r w:rsidRPr="00FF6BE9">
        <w:rPr>
          <w:rFonts w:ascii="Arial" w:hAnsi="Arial" w:cs="Arial"/>
        </w:rPr>
        <w:t>Des frais de recouvrement et d’assistance juridique.</w:t>
      </w:r>
    </w:p>
    <w:p w14:paraId="1A0B2593" w14:textId="77777777" w:rsidR="00FF6BE9" w:rsidRPr="00FF6BE9" w:rsidRDefault="00FF6BE9" w:rsidP="00FF6BE9">
      <w:pPr>
        <w:rPr>
          <w:rFonts w:ascii="Arial" w:hAnsi="Arial" w:cs="Arial"/>
        </w:rPr>
      </w:pPr>
      <w:r w:rsidRPr="00FF6BE9">
        <w:rPr>
          <w:rFonts w:ascii="Arial" w:hAnsi="Arial" w:cs="Arial"/>
        </w:rPr>
        <w:lastRenderedPageBreak/>
        <w:t>Nous précisons que l’Avis à Tiers Détenteur daté du 18 août 2026, dont nous avons reçu copie, a été expressément adressé à la Société de Boissons Rafraîchissantes de Guinée – SOBRAGUI – et non au GUCEG.</w:t>
      </w:r>
    </w:p>
    <w:p w14:paraId="38AD3F49" w14:textId="77777777" w:rsidR="00FF6BE9" w:rsidRPr="00FF6BE9" w:rsidRDefault="00FF6BE9" w:rsidP="00FF6BE9">
      <w:pPr>
        <w:rPr>
          <w:rFonts w:ascii="Arial" w:hAnsi="Arial" w:cs="Arial"/>
        </w:rPr>
      </w:pPr>
      <w:r w:rsidRPr="00FF6BE9">
        <w:rPr>
          <w:rFonts w:ascii="Arial" w:hAnsi="Arial" w:cs="Arial"/>
        </w:rPr>
        <w:t>Cet Avis à Tiers Détenteur ne saurait donc constituer un fondement juridique permettant au GUCEG de retenir ou de suspendre les sommes dues à MT SOLUTIONS. Il ne saurait davantage justifier rétroactivement le non-paiement d’un marché exécuté et réceptionné définitivement depuis le 7 juin 2024.</w:t>
      </w:r>
    </w:p>
    <w:p w14:paraId="6961A6EA" w14:textId="77777777" w:rsidR="00FF6BE9" w:rsidRPr="00FF6BE9" w:rsidRDefault="00FF6BE9" w:rsidP="00FF6BE9">
      <w:pPr>
        <w:rPr>
          <w:rFonts w:ascii="Arial" w:hAnsi="Arial" w:cs="Arial"/>
        </w:rPr>
      </w:pPr>
      <w:r w:rsidRPr="00FF6BE9">
        <w:rPr>
          <w:rFonts w:ascii="Arial" w:hAnsi="Arial" w:cs="Arial"/>
        </w:rPr>
        <w:t>En conséquence, nous vous mettons formellement en demeure de procéder, dans un délai maximal de </w:t>
      </w:r>
      <w:r w:rsidRPr="00FF6BE9">
        <w:rPr>
          <w:rFonts w:ascii="Arial" w:hAnsi="Arial" w:cs="Arial"/>
          <w:b/>
          <w:bCs/>
        </w:rPr>
        <w:t>huit jours</w:t>
      </w:r>
      <w:r w:rsidRPr="00FF6BE9">
        <w:rPr>
          <w:rFonts w:ascii="Arial" w:hAnsi="Arial" w:cs="Arial"/>
        </w:rPr>
        <w:t> à compter de la réception de la présente, au paiement des sommes suivantes :</w:t>
      </w:r>
    </w:p>
    <w:p w14:paraId="624D3F37" w14:textId="77777777" w:rsidR="00FF6BE9" w:rsidRPr="00FF6BE9" w:rsidRDefault="00FF6BE9" w:rsidP="00FF6BE9">
      <w:pPr>
        <w:rPr>
          <w:rFonts w:ascii="Arial" w:hAnsi="Arial" w:cs="Arial"/>
        </w:rPr>
      </w:pPr>
      <w:r w:rsidRPr="00FF6BE9">
        <w:rPr>
          <w:rFonts w:ascii="Arial" w:hAnsi="Arial" w:cs="Arial"/>
          <w:b/>
          <w:bCs/>
        </w:rPr>
        <w:t>1. Principal de la créance</w:t>
      </w:r>
    </w:p>
    <w:p w14:paraId="487F0383" w14:textId="77777777" w:rsidR="00FF6BE9" w:rsidRPr="00FF6BE9" w:rsidRDefault="00FF6BE9" w:rsidP="00FF6BE9">
      <w:pPr>
        <w:rPr>
          <w:rFonts w:ascii="Arial" w:hAnsi="Arial" w:cs="Arial"/>
        </w:rPr>
      </w:pPr>
      <w:hyperlink r:id="rId9" w:tgtFrame="_blank" w:history="1">
        <w:r w:rsidRPr="00FF6BE9">
          <w:rPr>
            <w:rStyle w:val="Lienhypertexte"/>
            <w:rFonts w:ascii="Arial" w:hAnsi="Arial" w:cs="Arial"/>
            <w:b/>
            <w:bCs/>
          </w:rPr>
          <w:t>2 696 003 637</w:t>
        </w:r>
      </w:hyperlink>
      <w:r w:rsidRPr="00FF6BE9">
        <w:rPr>
          <w:rFonts w:ascii="Arial" w:hAnsi="Arial" w:cs="Arial"/>
          <w:b/>
          <w:bCs/>
        </w:rPr>
        <w:t> GNF</w:t>
      </w:r>
      <w:r w:rsidRPr="00FF6BE9">
        <w:rPr>
          <w:rFonts w:ascii="Arial" w:hAnsi="Arial" w:cs="Arial"/>
        </w:rPr>
        <w:t>, correspondant à la totalité du montant du marché demeuré impayé.</w:t>
      </w:r>
    </w:p>
    <w:p w14:paraId="4BB68CF5" w14:textId="77777777" w:rsidR="00FF6BE9" w:rsidRPr="00FF6BE9" w:rsidRDefault="00FF6BE9" w:rsidP="00FF6BE9">
      <w:pPr>
        <w:rPr>
          <w:rFonts w:ascii="Arial" w:hAnsi="Arial" w:cs="Arial"/>
        </w:rPr>
      </w:pPr>
      <w:r w:rsidRPr="00FF6BE9">
        <w:rPr>
          <w:rFonts w:ascii="Arial" w:hAnsi="Arial" w:cs="Arial"/>
          <w:b/>
          <w:bCs/>
        </w:rPr>
        <w:t>2. Intérêts moratoires</w:t>
      </w:r>
    </w:p>
    <w:p w14:paraId="354A8113" w14:textId="77777777" w:rsidR="00FF6BE9" w:rsidRPr="00FF6BE9" w:rsidRDefault="00FF6BE9" w:rsidP="00FF6BE9">
      <w:pPr>
        <w:rPr>
          <w:rFonts w:ascii="Arial" w:hAnsi="Arial" w:cs="Arial"/>
        </w:rPr>
      </w:pPr>
      <w:r w:rsidRPr="00FF6BE9">
        <w:rPr>
          <w:rFonts w:ascii="Arial" w:hAnsi="Arial" w:cs="Arial"/>
        </w:rPr>
        <w:t>Les intérêts de retard calculés au taux légal applicable, à compter des différentes échéances contractuelles et, au plus tard, à compter de la réception définitive intervenue le 7 juin 2024, jusqu’au paiement effectif de la créance.</w:t>
      </w:r>
    </w:p>
    <w:p w14:paraId="0646893A" w14:textId="77777777" w:rsidR="00FF6BE9" w:rsidRPr="00FF6BE9" w:rsidRDefault="00FF6BE9" w:rsidP="00FF6BE9">
      <w:pPr>
        <w:rPr>
          <w:rFonts w:ascii="Arial" w:hAnsi="Arial" w:cs="Arial"/>
        </w:rPr>
      </w:pPr>
      <w:r w:rsidRPr="00FF6BE9">
        <w:rPr>
          <w:rFonts w:ascii="Arial" w:hAnsi="Arial" w:cs="Arial"/>
          <w:b/>
          <w:bCs/>
        </w:rPr>
        <w:t>3. Dommages-intérêts</w:t>
      </w:r>
    </w:p>
    <w:p w14:paraId="5B0B28F2" w14:textId="77777777" w:rsidR="00FF6BE9" w:rsidRPr="00FF6BE9" w:rsidRDefault="00FF6BE9" w:rsidP="00FF6BE9">
      <w:pPr>
        <w:rPr>
          <w:rFonts w:ascii="Arial" w:hAnsi="Arial" w:cs="Arial"/>
        </w:rPr>
      </w:pPr>
      <w:r w:rsidRPr="00FF6BE9">
        <w:rPr>
          <w:rFonts w:ascii="Arial" w:hAnsi="Arial" w:cs="Arial"/>
        </w:rPr>
        <w:t>Une indemnisation destinée à réparer l’intégralité des préjudices financiers, économiques et commerciaux directement causés à MT SOLUTIONS par l’absence totale de paiement.</w:t>
      </w:r>
    </w:p>
    <w:p w14:paraId="562EB291" w14:textId="77777777" w:rsidR="00FF6BE9" w:rsidRPr="00FF6BE9" w:rsidRDefault="00FF6BE9" w:rsidP="00FF6BE9">
      <w:pPr>
        <w:rPr>
          <w:rFonts w:ascii="Arial" w:hAnsi="Arial" w:cs="Arial"/>
        </w:rPr>
      </w:pPr>
      <w:r w:rsidRPr="00FF6BE9">
        <w:rPr>
          <w:rFonts w:ascii="Arial" w:hAnsi="Arial" w:cs="Arial"/>
        </w:rPr>
        <w:t>Sans préjudice d’une évaluation plus complète fondée sur les justificatifs comptables, bancaires et commerciaux, MT SOLUTIONS sollicite à titre provisionnel une indemnité minimale de :</w:t>
      </w:r>
    </w:p>
    <w:p w14:paraId="588538AB" w14:textId="77777777" w:rsidR="00FF6BE9" w:rsidRPr="00FF6BE9" w:rsidRDefault="00FF6BE9" w:rsidP="00FF6BE9">
      <w:pPr>
        <w:rPr>
          <w:rFonts w:ascii="Arial" w:hAnsi="Arial" w:cs="Arial"/>
        </w:rPr>
      </w:pPr>
      <w:hyperlink r:id="rId10" w:tgtFrame="_blank" w:history="1">
        <w:r w:rsidRPr="00FF6BE9">
          <w:rPr>
            <w:rStyle w:val="Lienhypertexte"/>
            <w:rFonts w:ascii="Arial" w:hAnsi="Arial" w:cs="Arial"/>
            <w:b/>
            <w:bCs/>
          </w:rPr>
          <w:t>269 600 364</w:t>
        </w:r>
      </w:hyperlink>
      <w:r w:rsidRPr="00FF6BE9">
        <w:rPr>
          <w:rFonts w:ascii="Arial" w:hAnsi="Arial" w:cs="Arial"/>
          <w:b/>
          <w:bCs/>
        </w:rPr>
        <w:t> GNF</w:t>
      </w:r>
      <w:r w:rsidRPr="00FF6BE9">
        <w:rPr>
          <w:rFonts w:ascii="Arial" w:hAnsi="Arial" w:cs="Arial"/>
        </w:rPr>
        <w:t>,</w:t>
      </w:r>
      <w:r w:rsidRPr="00FF6BE9">
        <w:rPr>
          <w:rFonts w:ascii="Arial" w:hAnsi="Arial" w:cs="Arial"/>
        </w:rPr>
        <w:br/>
        <w:t>correspondant à 10 % du montant du marché.</w:t>
      </w:r>
    </w:p>
    <w:p w14:paraId="09DBE9B7" w14:textId="77777777" w:rsidR="00FF6BE9" w:rsidRPr="00FF6BE9" w:rsidRDefault="00FF6BE9" w:rsidP="00FF6BE9">
      <w:pPr>
        <w:rPr>
          <w:rFonts w:ascii="Arial" w:hAnsi="Arial" w:cs="Arial"/>
        </w:rPr>
      </w:pPr>
      <w:r w:rsidRPr="00FF6BE9">
        <w:rPr>
          <w:rFonts w:ascii="Arial" w:hAnsi="Arial" w:cs="Arial"/>
        </w:rPr>
        <w:t>Cette indemnité provisoire pourra être réévaluée en fonction de la durée supplémentaire du retard, des frais financiers effectivement supportés, des pertes d’exploitation établies et des dépenses de recouvrement engagées.</w:t>
      </w:r>
    </w:p>
    <w:p w14:paraId="54A1D30B" w14:textId="77777777" w:rsidR="00FF6BE9" w:rsidRPr="00FF6BE9" w:rsidRDefault="00FF6BE9" w:rsidP="00FF6BE9">
      <w:pPr>
        <w:rPr>
          <w:rFonts w:ascii="Arial" w:hAnsi="Arial" w:cs="Arial"/>
        </w:rPr>
      </w:pPr>
      <w:r w:rsidRPr="00FF6BE9">
        <w:rPr>
          <w:rFonts w:ascii="Arial" w:hAnsi="Arial" w:cs="Arial"/>
        </w:rPr>
        <w:t>Le montant provisoire réclamé, hors intérêts moratoires, s’établit donc comme suit :</w:t>
      </w:r>
    </w:p>
    <w:p w14:paraId="5F2A245C" w14:textId="77777777" w:rsidR="00FF6BE9" w:rsidRPr="00FF6BE9" w:rsidRDefault="00FF6BE9" w:rsidP="00FF6BE9">
      <w:pPr>
        <w:numPr>
          <w:ilvl w:val="0"/>
          <w:numId w:val="7"/>
        </w:numPr>
        <w:rPr>
          <w:rFonts w:ascii="Arial" w:hAnsi="Arial" w:cs="Arial"/>
        </w:rPr>
      </w:pPr>
      <w:r w:rsidRPr="00FF6BE9">
        <w:rPr>
          <w:rFonts w:ascii="Arial" w:hAnsi="Arial" w:cs="Arial"/>
        </w:rPr>
        <w:t>Principal : </w:t>
      </w:r>
      <w:hyperlink r:id="rId11" w:tgtFrame="_blank" w:history="1">
        <w:r w:rsidRPr="00FF6BE9">
          <w:rPr>
            <w:rStyle w:val="Lienhypertexte"/>
            <w:rFonts w:ascii="Arial" w:hAnsi="Arial" w:cs="Arial"/>
            <w:b/>
            <w:bCs/>
          </w:rPr>
          <w:t>2 696 003 637</w:t>
        </w:r>
      </w:hyperlink>
      <w:r w:rsidRPr="00FF6BE9">
        <w:rPr>
          <w:rFonts w:ascii="Arial" w:hAnsi="Arial" w:cs="Arial"/>
          <w:b/>
          <w:bCs/>
        </w:rPr>
        <w:t> GNF</w:t>
      </w:r>
      <w:r w:rsidRPr="00FF6BE9">
        <w:rPr>
          <w:rFonts w:ascii="Arial" w:hAnsi="Arial" w:cs="Arial"/>
        </w:rPr>
        <w:t> ;</w:t>
      </w:r>
    </w:p>
    <w:p w14:paraId="6EC1D5AE" w14:textId="77777777" w:rsidR="00FF6BE9" w:rsidRPr="00FF6BE9" w:rsidRDefault="00FF6BE9" w:rsidP="00FF6BE9">
      <w:pPr>
        <w:numPr>
          <w:ilvl w:val="0"/>
          <w:numId w:val="7"/>
        </w:numPr>
        <w:rPr>
          <w:rFonts w:ascii="Arial" w:hAnsi="Arial" w:cs="Arial"/>
        </w:rPr>
      </w:pPr>
      <w:r w:rsidRPr="00FF6BE9">
        <w:rPr>
          <w:rFonts w:ascii="Arial" w:hAnsi="Arial" w:cs="Arial"/>
        </w:rPr>
        <w:t>Dommages-intérêts provisionnels : </w:t>
      </w:r>
      <w:hyperlink r:id="rId12" w:tgtFrame="_blank" w:history="1">
        <w:r w:rsidRPr="00FF6BE9">
          <w:rPr>
            <w:rStyle w:val="Lienhypertexte"/>
            <w:rFonts w:ascii="Arial" w:hAnsi="Arial" w:cs="Arial"/>
            <w:b/>
            <w:bCs/>
          </w:rPr>
          <w:t>269 600 364</w:t>
        </w:r>
      </w:hyperlink>
      <w:r w:rsidRPr="00FF6BE9">
        <w:rPr>
          <w:rFonts w:ascii="Arial" w:hAnsi="Arial" w:cs="Arial"/>
          <w:b/>
          <w:bCs/>
        </w:rPr>
        <w:t> GNF</w:t>
      </w:r>
      <w:r w:rsidRPr="00FF6BE9">
        <w:rPr>
          <w:rFonts w:ascii="Arial" w:hAnsi="Arial" w:cs="Arial"/>
        </w:rPr>
        <w:t> ;</w:t>
      </w:r>
    </w:p>
    <w:p w14:paraId="1D2F6282" w14:textId="77777777" w:rsidR="00FF6BE9" w:rsidRPr="00FF6BE9" w:rsidRDefault="00FF6BE9" w:rsidP="00FF6BE9">
      <w:pPr>
        <w:numPr>
          <w:ilvl w:val="0"/>
          <w:numId w:val="7"/>
        </w:numPr>
        <w:rPr>
          <w:rFonts w:ascii="Arial" w:hAnsi="Arial" w:cs="Arial"/>
        </w:rPr>
      </w:pPr>
      <w:r w:rsidRPr="00FF6BE9">
        <w:rPr>
          <w:rFonts w:ascii="Arial" w:hAnsi="Arial" w:cs="Arial"/>
        </w:rPr>
        <w:t>Intérêts moratoires : </w:t>
      </w:r>
      <w:r w:rsidRPr="00FF6BE9">
        <w:rPr>
          <w:rFonts w:ascii="Arial" w:hAnsi="Arial" w:cs="Arial"/>
          <w:b/>
          <w:bCs/>
        </w:rPr>
        <w:t>à calculer jusqu’à la date du paiement effectif</w:t>
      </w:r>
      <w:r w:rsidRPr="00FF6BE9">
        <w:rPr>
          <w:rFonts w:ascii="Arial" w:hAnsi="Arial" w:cs="Arial"/>
        </w:rPr>
        <w:t>.</w:t>
      </w:r>
    </w:p>
    <w:p w14:paraId="3DE2D717" w14:textId="77777777" w:rsidR="00FF6BE9" w:rsidRPr="00FF6BE9" w:rsidRDefault="00FF6BE9" w:rsidP="00FF6BE9">
      <w:pPr>
        <w:rPr>
          <w:rFonts w:ascii="Arial" w:hAnsi="Arial" w:cs="Arial"/>
        </w:rPr>
      </w:pPr>
      <w:r w:rsidRPr="00FF6BE9">
        <w:rPr>
          <w:rFonts w:ascii="Arial" w:hAnsi="Arial" w:cs="Arial"/>
          <w:b/>
          <w:bCs/>
        </w:rPr>
        <w:t>Total provisoire hors intérêts moratoires : </w:t>
      </w:r>
      <w:hyperlink r:id="rId13" w:tgtFrame="_blank" w:history="1">
        <w:r w:rsidRPr="00FF6BE9">
          <w:rPr>
            <w:rStyle w:val="Lienhypertexte"/>
            <w:rFonts w:ascii="Arial" w:hAnsi="Arial" w:cs="Arial"/>
            <w:b/>
            <w:bCs/>
          </w:rPr>
          <w:t>2 965 604 001</w:t>
        </w:r>
      </w:hyperlink>
      <w:r w:rsidRPr="00FF6BE9">
        <w:rPr>
          <w:rFonts w:ascii="Arial" w:hAnsi="Arial" w:cs="Arial"/>
          <w:b/>
          <w:bCs/>
        </w:rPr>
        <w:t> GNF.</w:t>
      </w:r>
    </w:p>
    <w:p w14:paraId="42625A3B" w14:textId="77777777" w:rsidR="00FF6BE9" w:rsidRPr="00FF6BE9" w:rsidRDefault="00FF6BE9" w:rsidP="00FF6BE9">
      <w:pPr>
        <w:rPr>
          <w:rFonts w:ascii="Arial" w:hAnsi="Arial" w:cs="Arial"/>
        </w:rPr>
      </w:pPr>
      <w:r w:rsidRPr="00FF6BE9">
        <w:rPr>
          <w:rFonts w:ascii="Arial" w:hAnsi="Arial" w:cs="Arial"/>
        </w:rPr>
        <w:lastRenderedPageBreak/>
        <w:t>Nous vous invitons également à organiser, dans ce même délai, une réunion d’arrêté contradictoire des comptes afin de procéder à la vérification définitive du montant de la créance et des indemnités dues.</w:t>
      </w:r>
    </w:p>
    <w:p w14:paraId="522C7135" w14:textId="77777777" w:rsidR="00FF6BE9" w:rsidRPr="00FF6BE9" w:rsidRDefault="00FF6BE9" w:rsidP="00FF6BE9">
      <w:pPr>
        <w:rPr>
          <w:rFonts w:ascii="Arial" w:hAnsi="Arial" w:cs="Arial"/>
        </w:rPr>
      </w:pPr>
      <w:r w:rsidRPr="00FF6BE9">
        <w:rPr>
          <w:rFonts w:ascii="Arial" w:hAnsi="Arial" w:cs="Arial"/>
        </w:rPr>
        <w:t>Nous attirons toutefois votre attention sur l’existence d’une différence de </w:t>
      </w:r>
      <w:hyperlink r:id="rId14" w:tgtFrame="_blank" w:history="1">
        <w:r w:rsidRPr="00FF6BE9">
          <w:rPr>
            <w:rStyle w:val="Lienhypertexte"/>
            <w:rFonts w:ascii="Arial" w:hAnsi="Arial" w:cs="Arial"/>
            <w:b/>
            <w:bCs/>
          </w:rPr>
          <w:t>69 011 958</w:t>
        </w:r>
      </w:hyperlink>
      <w:r w:rsidRPr="00FF6BE9">
        <w:rPr>
          <w:rFonts w:ascii="Arial" w:hAnsi="Arial" w:cs="Arial"/>
          <w:b/>
          <w:bCs/>
        </w:rPr>
        <w:t> GNF</w:t>
      </w:r>
      <w:r w:rsidRPr="00FF6BE9">
        <w:rPr>
          <w:rFonts w:ascii="Arial" w:hAnsi="Arial" w:cs="Arial"/>
        </w:rPr>
        <w:t> entre le montant total porté au contrat et au procès-verbal de réception définitive, soit </w:t>
      </w:r>
      <w:hyperlink r:id="rId15" w:tgtFrame="_blank" w:history="1">
        <w:r w:rsidRPr="00FF6BE9">
          <w:rPr>
            <w:rStyle w:val="Lienhypertexte"/>
            <w:rFonts w:ascii="Arial" w:hAnsi="Arial" w:cs="Arial"/>
          </w:rPr>
          <w:t>2 696 003 637</w:t>
        </w:r>
      </w:hyperlink>
      <w:r w:rsidRPr="00FF6BE9">
        <w:rPr>
          <w:rFonts w:ascii="Arial" w:hAnsi="Arial" w:cs="Arial"/>
        </w:rPr>
        <w:t> GNF, et le montant de la facture FA2401-0447, soit </w:t>
      </w:r>
      <w:hyperlink r:id="rId16" w:tgtFrame="_blank" w:history="1">
        <w:r w:rsidRPr="00FF6BE9">
          <w:rPr>
            <w:rStyle w:val="Lienhypertexte"/>
            <w:rFonts w:ascii="Arial" w:hAnsi="Arial" w:cs="Arial"/>
          </w:rPr>
          <w:t>2 626 991 679</w:t>
        </w:r>
      </w:hyperlink>
      <w:r w:rsidRPr="00FF6BE9">
        <w:rPr>
          <w:rFonts w:ascii="Arial" w:hAnsi="Arial" w:cs="Arial"/>
        </w:rPr>
        <w:t> GNF.</w:t>
      </w:r>
    </w:p>
    <w:p w14:paraId="0DFFEE0D" w14:textId="77777777" w:rsidR="00FF6BE9" w:rsidRPr="00FF6BE9" w:rsidRDefault="00FF6BE9" w:rsidP="00FF6BE9">
      <w:pPr>
        <w:rPr>
          <w:rFonts w:ascii="Arial" w:hAnsi="Arial" w:cs="Arial"/>
        </w:rPr>
      </w:pPr>
      <w:r w:rsidRPr="00FF6BE9">
        <w:rPr>
          <w:rFonts w:ascii="Arial" w:hAnsi="Arial" w:cs="Arial"/>
        </w:rPr>
        <w:t>Cette différence purement documentaire ne constitue en aucun cas une renonciation de MT SOLUTIONS à percevoir la totalité du montant contractuel. Une facture complémentaire ou rectificative pourra être établie afin de régulariser cette différence.</w:t>
      </w:r>
    </w:p>
    <w:p w14:paraId="2E5C1C80" w14:textId="77777777" w:rsidR="00FF6BE9" w:rsidRPr="00FF6BE9" w:rsidRDefault="00FF6BE9" w:rsidP="00FF6BE9">
      <w:pPr>
        <w:rPr>
          <w:rFonts w:ascii="Arial" w:hAnsi="Arial" w:cs="Arial"/>
        </w:rPr>
      </w:pPr>
      <w:r w:rsidRPr="00FF6BE9">
        <w:rPr>
          <w:rFonts w:ascii="Arial" w:hAnsi="Arial" w:cs="Arial"/>
        </w:rPr>
        <w:t>Conformément à l’article XV du contrat, MT SOLUTIONS demeure disposée à privilégier un règlement amiable du différend.</w:t>
      </w:r>
    </w:p>
    <w:p w14:paraId="1EBE21AF" w14:textId="77777777" w:rsidR="00FF6BE9" w:rsidRPr="00FF6BE9" w:rsidRDefault="00FF6BE9" w:rsidP="00FF6BE9">
      <w:pPr>
        <w:rPr>
          <w:rFonts w:ascii="Arial" w:hAnsi="Arial" w:cs="Arial"/>
        </w:rPr>
      </w:pPr>
      <w:r w:rsidRPr="00FF6BE9">
        <w:rPr>
          <w:rFonts w:ascii="Arial" w:hAnsi="Arial" w:cs="Arial"/>
        </w:rPr>
        <w:t>Cependant, à défaut de paiement intégral ou de proposition sérieuse de règlement dans le délai de huit jours, nous nous verrons contraints, sans autre préavis, de saisir le Tribunal de commerce de Conakry et d’engager toute procédure de recouvrement appropriée conformément à la législation guinéenne et aux dispositions applicables du droit OHADA.</w:t>
      </w:r>
    </w:p>
    <w:p w14:paraId="7F1EFF7A" w14:textId="77777777" w:rsidR="00FF6BE9" w:rsidRPr="00FF6BE9" w:rsidRDefault="00FF6BE9" w:rsidP="00FF6BE9">
      <w:pPr>
        <w:rPr>
          <w:rFonts w:ascii="Arial" w:hAnsi="Arial" w:cs="Arial"/>
        </w:rPr>
      </w:pPr>
      <w:r w:rsidRPr="00FF6BE9">
        <w:rPr>
          <w:rFonts w:ascii="Arial" w:hAnsi="Arial" w:cs="Arial"/>
        </w:rPr>
        <w:t>Cette procédure portera sur :</w:t>
      </w:r>
    </w:p>
    <w:p w14:paraId="633BE168" w14:textId="60948161" w:rsidR="00FF6BE9" w:rsidRPr="00FF6BE9" w:rsidRDefault="00FF6BE9" w:rsidP="00FF6BE9">
      <w:pPr>
        <w:numPr>
          <w:ilvl w:val="0"/>
          <w:numId w:val="8"/>
        </w:numPr>
        <w:rPr>
          <w:rFonts w:ascii="Arial" w:hAnsi="Arial" w:cs="Arial"/>
        </w:rPr>
      </w:pPr>
      <w:r w:rsidRPr="00FF6BE9">
        <w:rPr>
          <w:rFonts w:ascii="Arial" w:hAnsi="Arial" w:cs="Arial"/>
        </w:rPr>
        <w:t>Le paiement du principal de </w:t>
      </w:r>
      <w:hyperlink r:id="rId17" w:tgtFrame="_blank" w:history="1">
        <w:r w:rsidRPr="00FF6BE9">
          <w:rPr>
            <w:rStyle w:val="Lienhypertexte"/>
            <w:rFonts w:ascii="Arial" w:hAnsi="Arial" w:cs="Arial"/>
          </w:rPr>
          <w:t>2 696 003 637</w:t>
        </w:r>
      </w:hyperlink>
      <w:r w:rsidRPr="00FF6BE9">
        <w:rPr>
          <w:rFonts w:ascii="Arial" w:hAnsi="Arial" w:cs="Arial"/>
        </w:rPr>
        <w:t> GNF ;</w:t>
      </w:r>
    </w:p>
    <w:p w14:paraId="0B4336D0" w14:textId="3B267577" w:rsidR="00FF6BE9" w:rsidRPr="00FF6BE9" w:rsidRDefault="00FF6BE9" w:rsidP="00FF6BE9">
      <w:pPr>
        <w:numPr>
          <w:ilvl w:val="0"/>
          <w:numId w:val="8"/>
        </w:numPr>
        <w:rPr>
          <w:rFonts w:ascii="Arial" w:hAnsi="Arial" w:cs="Arial"/>
        </w:rPr>
      </w:pPr>
      <w:r w:rsidRPr="00FF6BE9">
        <w:rPr>
          <w:rFonts w:ascii="Arial" w:hAnsi="Arial" w:cs="Arial"/>
        </w:rPr>
        <w:t>Le paiement des intérêts moratoires ;</w:t>
      </w:r>
    </w:p>
    <w:p w14:paraId="2C9A8FD9" w14:textId="224F24E5" w:rsidR="00FF6BE9" w:rsidRPr="00FF6BE9" w:rsidRDefault="00FF6BE9" w:rsidP="00FF6BE9">
      <w:pPr>
        <w:numPr>
          <w:ilvl w:val="0"/>
          <w:numId w:val="8"/>
        </w:numPr>
        <w:rPr>
          <w:rFonts w:ascii="Arial" w:hAnsi="Arial" w:cs="Arial"/>
        </w:rPr>
      </w:pPr>
      <w:r w:rsidRPr="00FF6BE9">
        <w:rPr>
          <w:rFonts w:ascii="Arial" w:hAnsi="Arial" w:cs="Arial"/>
        </w:rPr>
        <w:t>L’indemnisation intégrale des préjudices subis ;</w:t>
      </w:r>
    </w:p>
    <w:p w14:paraId="408D39D8" w14:textId="77777777" w:rsidR="00FF6BE9" w:rsidRPr="00FF6BE9" w:rsidRDefault="00FF6BE9" w:rsidP="00FF6BE9">
      <w:pPr>
        <w:numPr>
          <w:ilvl w:val="0"/>
          <w:numId w:val="8"/>
        </w:numPr>
        <w:rPr>
          <w:rFonts w:ascii="Arial" w:hAnsi="Arial" w:cs="Arial"/>
        </w:rPr>
      </w:pPr>
      <w:proofErr w:type="gramStart"/>
      <w:r w:rsidRPr="00FF6BE9">
        <w:rPr>
          <w:rFonts w:ascii="Arial" w:hAnsi="Arial" w:cs="Arial"/>
        </w:rPr>
        <w:t>le</w:t>
      </w:r>
      <w:proofErr w:type="gramEnd"/>
      <w:r w:rsidRPr="00FF6BE9">
        <w:rPr>
          <w:rFonts w:ascii="Arial" w:hAnsi="Arial" w:cs="Arial"/>
        </w:rPr>
        <w:t xml:space="preserve"> remboursement des frais de recouvrement, honoraires, dépens et frais de procédure.</w:t>
      </w:r>
    </w:p>
    <w:p w14:paraId="04F0EE49" w14:textId="77777777" w:rsidR="00FF6BE9" w:rsidRPr="00FF6BE9" w:rsidRDefault="00FF6BE9" w:rsidP="00FF6BE9">
      <w:pPr>
        <w:rPr>
          <w:rFonts w:ascii="Arial" w:hAnsi="Arial" w:cs="Arial"/>
        </w:rPr>
      </w:pPr>
      <w:r w:rsidRPr="00FF6BE9">
        <w:rPr>
          <w:rFonts w:ascii="Arial" w:hAnsi="Arial" w:cs="Arial"/>
        </w:rPr>
        <w:t>La présente constitue une </w:t>
      </w:r>
      <w:r w:rsidRPr="00FF6BE9">
        <w:rPr>
          <w:rFonts w:ascii="Arial" w:hAnsi="Arial" w:cs="Arial"/>
          <w:b/>
          <w:bCs/>
        </w:rPr>
        <w:t>mise en demeure formelle de payer</w:t>
      </w:r>
      <w:r w:rsidRPr="00FF6BE9">
        <w:rPr>
          <w:rFonts w:ascii="Arial" w:hAnsi="Arial" w:cs="Arial"/>
        </w:rPr>
        <w:t> et fait courir les intérêts et effets juridiques attachés à une telle notification.</w:t>
      </w:r>
    </w:p>
    <w:p w14:paraId="29F21FB1" w14:textId="77777777" w:rsidR="00FF6BE9" w:rsidRPr="00FF6BE9" w:rsidRDefault="00FF6BE9" w:rsidP="00FF6BE9">
      <w:pPr>
        <w:rPr>
          <w:rFonts w:ascii="Arial" w:hAnsi="Arial" w:cs="Arial"/>
        </w:rPr>
      </w:pPr>
      <w:r w:rsidRPr="00FF6BE9">
        <w:rPr>
          <w:rFonts w:ascii="Arial" w:hAnsi="Arial" w:cs="Arial"/>
        </w:rPr>
        <w:t>Dans l’espoir d’un règlement diligent et responsable de cette situation, nous vous prions d’agréer, Monsieur le Directeur Général, l’expression de notre considération distinguée.</w:t>
      </w:r>
    </w:p>
    <w:p w14:paraId="48B6937B" w14:textId="5225AD5C" w:rsidR="00FF6BE9" w:rsidRPr="00FF6BE9" w:rsidRDefault="00FF6BE9" w:rsidP="00FF6BE9">
      <w:pPr>
        <w:rPr>
          <w:rFonts w:ascii="Arial" w:hAnsi="Arial" w:cs="Arial"/>
        </w:rPr>
      </w:pPr>
      <w:r w:rsidRPr="00FF6BE9">
        <w:rPr>
          <w:rFonts w:ascii="Arial" w:hAnsi="Arial" w:cs="Arial"/>
          <w:b/>
          <w:bCs/>
        </w:rPr>
        <w:t>Fait à Conakry,</w:t>
      </w:r>
      <w:r w:rsidRPr="00FF6BE9">
        <w:rPr>
          <w:rFonts w:ascii="Arial" w:hAnsi="Arial" w:cs="Arial"/>
        </w:rPr>
        <w:t xml:space="preserve"> le 7 septembre 2026</w:t>
      </w:r>
    </w:p>
    <w:p w14:paraId="7E1DDE49" w14:textId="352783FE" w:rsidR="0094019F" w:rsidRPr="00FF6BE9" w:rsidRDefault="0094019F" w:rsidP="0094019F">
      <w:pPr>
        <w:rPr>
          <w:rFonts w:ascii="Arial" w:hAnsi="Arial" w:cs="Arial"/>
        </w:rPr>
      </w:pPr>
    </w:p>
    <w:p w14:paraId="223BA6FE" w14:textId="73A9A643" w:rsidR="0094019F" w:rsidRPr="00FF6BE9" w:rsidRDefault="0094019F" w:rsidP="0094019F">
      <w:pPr>
        <w:rPr>
          <w:rFonts w:ascii="Arial" w:hAnsi="Arial" w:cs="Arial"/>
        </w:rPr>
      </w:pPr>
    </w:p>
    <w:sectPr w:rsidR="0094019F" w:rsidRPr="00FF6BE9">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9B3F0" w14:textId="77777777" w:rsidR="00EA40FD" w:rsidRDefault="00EA40FD" w:rsidP="003F3077">
      <w:pPr>
        <w:spacing w:after="0" w:line="240" w:lineRule="auto"/>
      </w:pPr>
      <w:r>
        <w:separator/>
      </w:r>
    </w:p>
  </w:endnote>
  <w:endnote w:type="continuationSeparator" w:id="0">
    <w:p w14:paraId="651DCF60" w14:textId="77777777" w:rsidR="00EA40FD" w:rsidRDefault="00EA40FD" w:rsidP="003F3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4ACF2" w14:textId="77777777" w:rsidR="00E04D00" w:rsidRPr="00E663CD" w:rsidRDefault="00E04D00" w:rsidP="00E04D00">
    <w:pPr>
      <w:pStyle w:val="Explorateurdedocuments"/>
      <w:jc w:val="both"/>
      <w:rPr>
        <w:b/>
        <w:color w:val="808080" w:themeColor="background1" w:themeShade="80"/>
        <w:sz w:val="18"/>
        <w:szCs w:val="14"/>
      </w:rPr>
    </w:pPr>
    <w:r>
      <w:rPr>
        <w:b/>
        <w:color w:val="808080" w:themeColor="background1" w:themeShade="80"/>
        <w:sz w:val="18"/>
        <w:szCs w:val="14"/>
      </w:rPr>
      <w:t xml:space="preserve">France </w:t>
    </w:r>
  </w:p>
  <w:p w14:paraId="2F3B9136" w14:textId="77777777" w:rsidR="00E04D00" w:rsidRDefault="00E04D00" w:rsidP="00E04D00">
    <w:pPr>
      <w:pStyle w:val="Explorateurdedocuments"/>
      <w:jc w:val="both"/>
      <w:rPr>
        <w:color w:val="808080" w:themeColor="background1" w:themeShade="80"/>
        <w:sz w:val="14"/>
        <w:szCs w:val="14"/>
      </w:rPr>
    </w:pPr>
    <w:r w:rsidRPr="000B0FE0">
      <w:rPr>
        <w:b/>
        <w:color w:val="808080" w:themeColor="background1" w:themeShade="80"/>
        <w:sz w:val="14"/>
        <w:szCs w:val="14"/>
      </w:rPr>
      <w:t>42, avenue Kl</w:t>
    </w:r>
    <w:r w:rsidRPr="000B0FE0">
      <w:rPr>
        <w:b/>
        <w:color w:val="808080" w:themeColor="background1" w:themeShade="80"/>
        <w:sz w:val="14"/>
        <w:szCs w:val="14"/>
      </w:rPr>
      <w:t>é</w:t>
    </w:r>
    <w:r w:rsidRPr="000B0FE0">
      <w:rPr>
        <w:b/>
        <w:color w:val="808080" w:themeColor="background1" w:themeShade="80"/>
        <w:sz w:val="14"/>
        <w:szCs w:val="14"/>
      </w:rPr>
      <w:t>ber - 75116 PARIS</w:t>
    </w:r>
    <w:r>
      <w:rPr>
        <w:b/>
        <w:color w:val="808080" w:themeColor="background1" w:themeShade="80"/>
        <w:sz w:val="14"/>
        <w:szCs w:val="14"/>
      </w:rPr>
      <w:t xml:space="preserve">   </w:t>
    </w:r>
    <w:r w:rsidRPr="002B29B3">
      <w:rPr>
        <w:color w:val="808080" w:themeColor="background1" w:themeShade="80"/>
        <w:sz w:val="14"/>
        <w:szCs w:val="14"/>
      </w:rPr>
      <w:t>T</w:t>
    </w:r>
    <w:r w:rsidRPr="002B29B3">
      <w:rPr>
        <w:color w:val="808080" w:themeColor="background1" w:themeShade="80"/>
        <w:sz w:val="14"/>
        <w:szCs w:val="14"/>
      </w:rPr>
      <w:t>é</w:t>
    </w:r>
    <w:r w:rsidRPr="002B29B3">
      <w:rPr>
        <w:color w:val="808080" w:themeColor="background1" w:themeShade="80"/>
        <w:sz w:val="14"/>
        <w:szCs w:val="14"/>
      </w:rPr>
      <w:t>l</w:t>
    </w:r>
    <w:r w:rsidRPr="002B29B3">
      <w:rPr>
        <w:color w:val="808080" w:themeColor="background1" w:themeShade="80"/>
        <w:sz w:val="14"/>
        <w:szCs w:val="14"/>
      </w:rPr>
      <w:t> </w:t>
    </w:r>
    <w:r w:rsidRPr="002B29B3">
      <w:rPr>
        <w:color w:val="808080" w:themeColor="background1" w:themeShade="80"/>
        <w:sz w:val="14"/>
        <w:szCs w:val="14"/>
      </w:rPr>
      <w:t>: +33(0)1 47 80 25 93</w:t>
    </w:r>
    <w:r>
      <w:rPr>
        <w:color w:val="808080" w:themeColor="background1" w:themeShade="80"/>
        <w:sz w:val="14"/>
        <w:szCs w:val="14"/>
      </w:rPr>
      <w:t xml:space="preserve"> </w:t>
    </w:r>
    <w:r w:rsidRPr="002B29B3">
      <w:rPr>
        <w:color w:val="808080" w:themeColor="background1" w:themeShade="80"/>
        <w:sz w:val="14"/>
        <w:szCs w:val="14"/>
      </w:rPr>
      <w:t>Fax</w:t>
    </w:r>
    <w:r w:rsidRPr="002B29B3">
      <w:rPr>
        <w:color w:val="808080" w:themeColor="background1" w:themeShade="80"/>
        <w:sz w:val="14"/>
        <w:szCs w:val="14"/>
      </w:rPr>
      <w:t> </w:t>
    </w:r>
    <w:r w:rsidRPr="002B29B3">
      <w:rPr>
        <w:color w:val="808080" w:themeColor="background1" w:themeShade="80"/>
        <w:sz w:val="14"/>
        <w:szCs w:val="14"/>
      </w:rPr>
      <w:t>: +33(0)1 47 80 27 09</w:t>
    </w:r>
    <w:r>
      <w:rPr>
        <w:color w:val="808080" w:themeColor="background1" w:themeShade="80"/>
        <w:sz w:val="14"/>
        <w:szCs w:val="14"/>
      </w:rPr>
      <w:t xml:space="preserve"> </w:t>
    </w:r>
    <w:r w:rsidRPr="002B29B3">
      <w:rPr>
        <w:color w:val="808080" w:themeColor="background1" w:themeShade="80"/>
        <w:sz w:val="14"/>
        <w:szCs w:val="14"/>
      </w:rPr>
      <w:t xml:space="preserve">Mail : </w:t>
    </w:r>
    <w:hyperlink r:id="rId1" w:history="1">
      <w:r w:rsidRPr="00EE026A">
        <w:rPr>
          <w:rStyle w:val="Lienhypertexte"/>
          <w:sz w:val="14"/>
          <w:szCs w:val="14"/>
        </w:rPr>
        <w:t>callcenter@mt-solutions.fr</w:t>
      </w:r>
    </w:hyperlink>
    <w:r>
      <w:rPr>
        <w:color w:val="808080" w:themeColor="background1" w:themeShade="80"/>
        <w:sz w:val="14"/>
        <w:szCs w:val="14"/>
      </w:rPr>
      <w:t xml:space="preserve">       </w:t>
    </w:r>
    <w:r w:rsidRPr="002B29B3">
      <w:rPr>
        <w:color w:val="808080" w:themeColor="background1" w:themeShade="80"/>
        <w:sz w:val="14"/>
        <w:szCs w:val="14"/>
      </w:rPr>
      <w:t>RCS PARIS 451</w:t>
    </w:r>
    <w:r w:rsidRPr="002B29B3">
      <w:rPr>
        <w:color w:val="808080" w:themeColor="background1" w:themeShade="80"/>
        <w:sz w:val="14"/>
        <w:szCs w:val="14"/>
      </w:rPr>
      <w:t> </w:t>
    </w:r>
    <w:r w:rsidRPr="002B29B3">
      <w:rPr>
        <w:color w:val="808080" w:themeColor="background1" w:themeShade="80"/>
        <w:sz w:val="14"/>
        <w:szCs w:val="14"/>
      </w:rPr>
      <w:t>940</w:t>
    </w:r>
    <w:r w:rsidRPr="002B29B3">
      <w:rPr>
        <w:color w:val="808080" w:themeColor="background1" w:themeShade="80"/>
        <w:sz w:val="14"/>
        <w:szCs w:val="14"/>
      </w:rPr>
      <w:t> </w:t>
    </w:r>
    <w:r w:rsidRPr="002B29B3">
      <w:rPr>
        <w:color w:val="808080" w:themeColor="background1" w:themeShade="80"/>
        <w:sz w:val="14"/>
        <w:szCs w:val="14"/>
      </w:rPr>
      <w:t>407</w:t>
    </w:r>
    <w:r>
      <w:rPr>
        <w:color w:val="808080" w:themeColor="background1" w:themeShade="80"/>
        <w:sz w:val="14"/>
        <w:szCs w:val="14"/>
      </w:rPr>
      <w:t xml:space="preserve"> </w:t>
    </w:r>
    <w:r w:rsidRPr="002B29B3">
      <w:rPr>
        <w:color w:val="808080" w:themeColor="background1" w:themeShade="80"/>
        <w:sz w:val="14"/>
        <w:szCs w:val="14"/>
      </w:rPr>
      <w:t>SIRET</w:t>
    </w:r>
    <w:r w:rsidRPr="002B29B3">
      <w:rPr>
        <w:color w:val="808080" w:themeColor="background1" w:themeShade="80"/>
        <w:sz w:val="14"/>
        <w:szCs w:val="14"/>
      </w:rPr>
      <w:t> </w:t>
    </w:r>
    <w:r w:rsidRPr="002B29B3">
      <w:rPr>
        <w:color w:val="808080" w:themeColor="background1" w:themeShade="80"/>
        <w:sz w:val="14"/>
        <w:szCs w:val="14"/>
      </w:rPr>
      <w:t>: 451</w:t>
    </w:r>
    <w:r w:rsidRPr="002B29B3">
      <w:rPr>
        <w:color w:val="808080" w:themeColor="background1" w:themeShade="80"/>
        <w:sz w:val="14"/>
        <w:szCs w:val="14"/>
      </w:rPr>
      <w:t> </w:t>
    </w:r>
    <w:r w:rsidRPr="002B29B3">
      <w:rPr>
        <w:color w:val="808080" w:themeColor="background1" w:themeShade="80"/>
        <w:sz w:val="14"/>
        <w:szCs w:val="14"/>
      </w:rPr>
      <w:t>940</w:t>
    </w:r>
    <w:r w:rsidRPr="002B29B3">
      <w:rPr>
        <w:color w:val="808080" w:themeColor="background1" w:themeShade="80"/>
        <w:sz w:val="14"/>
        <w:szCs w:val="14"/>
      </w:rPr>
      <w:t> </w:t>
    </w:r>
    <w:r w:rsidRPr="002B29B3">
      <w:rPr>
        <w:color w:val="808080" w:themeColor="background1" w:themeShade="80"/>
        <w:sz w:val="14"/>
        <w:szCs w:val="14"/>
      </w:rPr>
      <w:t xml:space="preserve">407 </w:t>
    </w:r>
    <w:proofErr w:type="gramStart"/>
    <w:r w:rsidRPr="002B29B3">
      <w:rPr>
        <w:color w:val="808080" w:themeColor="background1" w:themeShade="80"/>
        <w:sz w:val="14"/>
        <w:szCs w:val="14"/>
      </w:rPr>
      <w:t xml:space="preserve">00039 </w:t>
    </w:r>
    <w:r>
      <w:rPr>
        <w:color w:val="808080" w:themeColor="background1" w:themeShade="80"/>
        <w:sz w:val="14"/>
        <w:szCs w:val="14"/>
      </w:rPr>
      <w:t xml:space="preserve"> </w:t>
    </w:r>
    <w:r w:rsidRPr="002B29B3">
      <w:rPr>
        <w:color w:val="808080" w:themeColor="background1" w:themeShade="80"/>
        <w:sz w:val="14"/>
        <w:szCs w:val="14"/>
      </w:rPr>
      <w:t>APE</w:t>
    </w:r>
    <w:proofErr w:type="gramEnd"/>
    <w:r w:rsidRPr="002B29B3">
      <w:rPr>
        <w:color w:val="808080" w:themeColor="background1" w:themeShade="80"/>
        <w:sz w:val="14"/>
        <w:szCs w:val="14"/>
      </w:rPr>
      <w:t xml:space="preserve"> 7111Z</w:t>
    </w:r>
    <w:r>
      <w:rPr>
        <w:color w:val="808080" w:themeColor="background1" w:themeShade="80"/>
        <w:sz w:val="14"/>
        <w:szCs w:val="14"/>
      </w:rPr>
      <w:t xml:space="preserve"> </w:t>
    </w:r>
    <w:r w:rsidRPr="002B29B3">
      <w:rPr>
        <w:color w:val="808080" w:themeColor="background1" w:themeShade="80"/>
        <w:sz w:val="14"/>
        <w:szCs w:val="14"/>
      </w:rPr>
      <w:t>TVAFR 47</w:t>
    </w:r>
    <w:r w:rsidRPr="002B29B3">
      <w:rPr>
        <w:color w:val="808080" w:themeColor="background1" w:themeShade="80"/>
        <w:sz w:val="14"/>
        <w:szCs w:val="14"/>
      </w:rPr>
      <w:t> </w:t>
    </w:r>
    <w:r w:rsidRPr="002B29B3">
      <w:rPr>
        <w:color w:val="808080" w:themeColor="background1" w:themeShade="80"/>
        <w:sz w:val="14"/>
        <w:szCs w:val="14"/>
      </w:rPr>
      <w:t>451</w:t>
    </w:r>
    <w:r w:rsidRPr="002B29B3">
      <w:rPr>
        <w:color w:val="808080" w:themeColor="background1" w:themeShade="80"/>
        <w:sz w:val="14"/>
        <w:szCs w:val="14"/>
      </w:rPr>
      <w:t> </w:t>
    </w:r>
    <w:r w:rsidRPr="002B29B3">
      <w:rPr>
        <w:color w:val="808080" w:themeColor="background1" w:themeShade="80"/>
        <w:sz w:val="14"/>
        <w:szCs w:val="14"/>
      </w:rPr>
      <w:t>940</w:t>
    </w:r>
    <w:r w:rsidRPr="002B29B3">
      <w:rPr>
        <w:color w:val="808080" w:themeColor="background1" w:themeShade="80"/>
        <w:sz w:val="14"/>
        <w:szCs w:val="14"/>
      </w:rPr>
      <w:t> </w:t>
    </w:r>
    <w:r w:rsidRPr="002B29B3">
      <w:rPr>
        <w:color w:val="808080" w:themeColor="background1" w:themeShade="80"/>
        <w:sz w:val="14"/>
        <w:szCs w:val="14"/>
      </w:rPr>
      <w:t>407</w:t>
    </w:r>
  </w:p>
  <w:p w14:paraId="1B3EA188" w14:textId="77777777" w:rsidR="00E04D00" w:rsidRPr="0073351A" w:rsidRDefault="00E04D00" w:rsidP="00E04D00">
    <w:pPr>
      <w:pStyle w:val="Explorateurdedocuments"/>
      <w:jc w:val="both"/>
      <w:rPr>
        <w:color w:val="808080" w:themeColor="background1" w:themeShade="80"/>
        <w:sz w:val="14"/>
        <w:szCs w:val="14"/>
      </w:rPr>
    </w:pPr>
    <w:r w:rsidRPr="00E663CD">
      <w:rPr>
        <w:b/>
        <w:color w:val="808080" w:themeColor="background1" w:themeShade="80"/>
        <w:sz w:val="18"/>
        <w:szCs w:val="14"/>
      </w:rPr>
      <w:t>Espa</w:t>
    </w:r>
    <w:r w:rsidRPr="00E663CD">
      <w:rPr>
        <w:rFonts w:asciiTheme="minorHAnsi" w:hAnsiTheme="minorHAnsi"/>
        <w:b/>
        <w:color w:val="808080" w:themeColor="background1" w:themeShade="80"/>
        <w:sz w:val="18"/>
        <w:szCs w:val="14"/>
      </w:rPr>
      <w:t>ñ</w:t>
    </w:r>
    <w:r w:rsidRPr="00E663CD">
      <w:rPr>
        <w:b/>
        <w:color w:val="808080" w:themeColor="background1" w:themeShade="80"/>
        <w:sz w:val="18"/>
        <w:szCs w:val="14"/>
      </w:rPr>
      <w:t>a</w:t>
    </w:r>
    <w:r>
      <w:rPr>
        <w:b/>
        <w:color w:val="808080" w:themeColor="background1" w:themeShade="80"/>
        <w:sz w:val="18"/>
        <w:szCs w:val="14"/>
      </w:rPr>
      <w:t xml:space="preserve"> </w:t>
    </w:r>
    <w:r w:rsidRPr="003E5A4B">
      <w:rPr>
        <w:b/>
        <w:i/>
        <w:color w:val="808080" w:themeColor="background1" w:themeShade="80"/>
        <w:sz w:val="14"/>
        <w:szCs w:val="14"/>
      </w:rPr>
      <w:t>MTS MANTENIMIENTO MULTITECNICO, S.L.U</w:t>
    </w:r>
    <w:r>
      <w:rPr>
        <w:b/>
        <w:i/>
        <w:color w:val="808080" w:themeColor="background1" w:themeShade="80"/>
        <w:sz w:val="14"/>
        <w:szCs w:val="14"/>
      </w:rPr>
      <w:t xml:space="preserve">         </w:t>
    </w:r>
    <w:r w:rsidRPr="002B29B3">
      <w:rPr>
        <w:color w:val="808080" w:themeColor="background1" w:themeShade="80"/>
        <w:sz w:val="14"/>
        <w:szCs w:val="14"/>
      </w:rPr>
      <w:t>C.I.F.</w:t>
    </w:r>
    <w:r w:rsidRPr="002B29B3">
      <w:rPr>
        <w:color w:val="808080" w:themeColor="background1" w:themeShade="80"/>
        <w:sz w:val="14"/>
        <w:szCs w:val="14"/>
      </w:rPr>
      <w:t> </w:t>
    </w:r>
    <w:r w:rsidRPr="002B29B3">
      <w:rPr>
        <w:color w:val="808080" w:themeColor="background1" w:themeShade="80"/>
        <w:sz w:val="14"/>
        <w:szCs w:val="14"/>
      </w:rPr>
      <w:t>: B</w:t>
    </w:r>
    <w:proofErr w:type="gramStart"/>
    <w:r w:rsidRPr="002B29B3">
      <w:rPr>
        <w:color w:val="808080" w:themeColor="background1" w:themeShade="80"/>
        <w:sz w:val="14"/>
        <w:szCs w:val="14"/>
      </w:rPr>
      <w:t xml:space="preserve">67024406 </w:t>
    </w:r>
    <w:r>
      <w:rPr>
        <w:b/>
        <w:color w:val="808080" w:themeColor="background1" w:themeShade="80"/>
        <w:sz w:val="18"/>
        <w:szCs w:val="14"/>
      </w:rPr>
      <w:t xml:space="preserve"> </w:t>
    </w:r>
    <w:r w:rsidRPr="002B29B3">
      <w:rPr>
        <w:color w:val="808080" w:themeColor="background1" w:themeShade="80"/>
        <w:sz w:val="14"/>
        <w:szCs w:val="14"/>
      </w:rPr>
      <w:t>Sociedad</w:t>
    </w:r>
    <w:proofErr w:type="gramEnd"/>
    <w:r w:rsidRPr="002B29B3">
      <w:rPr>
        <w:color w:val="808080" w:themeColor="background1" w:themeShade="80"/>
        <w:sz w:val="14"/>
        <w:szCs w:val="14"/>
      </w:rPr>
      <w:t xml:space="preserve"> </w:t>
    </w:r>
    <w:proofErr w:type="spellStart"/>
    <w:r w:rsidRPr="002B29B3">
      <w:rPr>
        <w:color w:val="808080" w:themeColor="background1" w:themeShade="80"/>
        <w:sz w:val="14"/>
        <w:szCs w:val="14"/>
      </w:rPr>
      <w:t>Limitada</w:t>
    </w:r>
    <w:proofErr w:type="spellEnd"/>
    <w:r w:rsidRPr="002B29B3">
      <w:rPr>
        <w:color w:val="808080" w:themeColor="background1" w:themeShade="80"/>
        <w:sz w:val="14"/>
        <w:szCs w:val="14"/>
      </w:rPr>
      <w:t xml:space="preserve"> </w:t>
    </w:r>
    <w:proofErr w:type="spellStart"/>
    <w:r w:rsidRPr="002B29B3">
      <w:rPr>
        <w:color w:val="808080" w:themeColor="background1" w:themeShade="80"/>
        <w:sz w:val="14"/>
        <w:szCs w:val="14"/>
      </w:rPr>
      <w:t>inscrita</w:t>
    </w:r>
    <w:proofErr w:type="spellEnd"/>
    <w:r w:rsidRPr="002B29B3">
      <w:rPr>
        <w:color w:val="808080" w:themeColor="background1" w:themeShade="80"/>
        <w:sz w:val="14"/>
        <w:szCs w:val="14"/>
      </w:rPr>
      <w:t xml:space="preserve"> en el </w:t>
    </w:r>
    <w:proofErr w:type="spellStart"/>
    <w:r w:rsidRPr="002B29B3">
      <w:rPr>
        <w:color w:val="808080" w:themeColor="background1" w:themeShade="80"/>
        <w:sz w:val="14"/>
        <w:szCs w:val="14"/>
      </w:rPr>
      <w:t>Registro</w:t>
    </w:r>
    <w:proofErr w:type="spellEnd"/>
    <w:r w:rsidRPr="002B29B3">
      <w:rPr>
        <w:color w:val="808080" w:themeColor="background1" w:themeShade="80"/>
        <w:sz w:val="14"/>
        <w:szCs w:val="14"/>
      </w:rPr>
      <w:t xml:space="preserve"> </w:t>
    </w:r>
    <w:proofErr w:type="spellStart"/>
    <w:r w:rsidRPr="002B29B3">
      <w:rPr>
        <w:color w:val="808080" w:themeColor="background1" w:themeShade="80"/>
        <w:sz w:val="14"/>
        <w:szCs w:val="14"/>
      </w:rPr>
      <w:t>Mercantil</w:t>
    </w:r>
    <w:proofErr w:type="spellEnd"/>
    <w:r w:rsidRPr="002B29B3">
      <w:rPr>
        <w:color w:val="808080" w:themeColor="background1" w:themeShade="80"/>
        <w:sz w:val="14"/>
        <w:szCs w:val="14"/>
      </w:rPr>
      <w:t xml:space="preserve"> de Barcelona</w:t>
    </w:r>
    <w:r>
      <w:rPr>
        <w:b/>
        <w:color w:val="808080" w:themeColor="background1" w:themeShade="80"/>
        <w:sz w:val="18"/>
        <w:szCs w:val="14"/>
      </w:rPr>
      <w:t xml:space="preserve"> </w:t>
    </w:r>
    <w:r w:rsidRPr="00D229E0">
      <w:rPr>
        <w:color w:val="808080" w:themeColor="background1" w:themeShade="80"/>
        <w:sz w:val="14"/>
        <w:szCs w:val="14"/>
      </w:rPr>
      <w:t xml:space="preserve">Tomo 45.964, Folio </w:t>
    </w:r>
    <w:proofErr w:type="gramStart"/>
    <w:r w:rsidRPr="00D229E0">
      <w:rPr>
        <w:color w:val="808080" w:themeColor="background1" w:themeShade="80"/>
        <w:sz w:val="14"/>
        <w:szCs w:val="14"/>
      </w:rPr>
      <w:t xml:space="preserve">216, </w:t>
    </w:r>
    <w:r>
      <w:rPr>
        <w:b/>
        <w:color w:val="808080" w:themeColor="background1" w:themeShade="80"/>
        <w:sz w:val="18"/>
        <w:szCs w:val="14"/>
      </w:rPr>
      <w:t xml:space="preserve"> </w:t>
    </w:r>
    <w:proofErr w:type="spellStart"/>
    <w:r w:rsidRPr="00D229E0">
      <w:rPr>
        <w:color w:val="808080" w:themeColor="background1" w:themeShade="80"/>
        <w:sz w:val="14"/>
        <w:szCs w:val="14"/>
      </w:rPr>
      <w:t>Hoja</w:t>
    </w:r>
    <w:proofErr w:type="spellEnd"/>
    <w:proofErr w:type="gramEnd"/>
    <w:r>
      <w:rPr>
        <w:color w:val="808080" w:themeColor="background1" w:themeShade="80"/>
        <w:sz w:val="14"/>
        <w:szCs w:val="14"/>
      </w:rPr>
      <w:t xml:space="preserve"> </w:t>
    </w:r>
    <w:r w:rsidRPr="00D229E0">
      <w:rPr>
        <w:color w:val="808080" w:themeColor="background1" w:themeShade="80"/>
        <w:sz w:val="14"/>
        <w:szCs w:val="14"/>
      </w:rPr>
      <w:t>B-505297</w:t>
    </w:r>
    <w:r w:rsidRPr="00D229E0">
      <w:rPr>
        <w:color w:val="808080" w:themeColor="background1" w:themeShade="80"/>
        <w:sz w:val="14"/>
        <w:szCs w:val="14"/>
      </w:rPr>
      <w:t> </w:t>
    </w:r>
    <w:r w:rsidRPr="002B29B3">
      <w:rPr>
        <w:b/>
        <w:color w:val="808080" w:themeColor="background1" w:themeShade="80"/>
        <w:sz w:val="14"/>
        <w:szCs w:val="14"/>
      </w:rPr>
      <w:t>Paseo de Gracia, 101, 4</w:t>
    </w:r>
    <w:r w:rsidRPr="002B29B3">
      <w:rPr>
        <w:b/>
        <w:color w:val="808080" w:themeColor="background1" w:themeShade="80"/>
        <w:sz w:val="14"/>
        <w:szCs w:val="14"/>
      </w:rPr>
      <w:t>º</w:t>
    </w:r>
    <w:r w:rsidRPr="002B29B3">
      <w:rPr>
        <w:b/>
        <w:color w:val="808080" w:themeColor="background1" w:themeShade="80"/>
        <w:sz w:val="14"/>
        <w:szCs w:val="14"/>
      </w:rPr>
      <w:t xml:space="preserve"> 1</w:t>
    </w:r>
    <w:r w:rsidRPr="002B29B3">
      <w:rPr>
        <w:b/>
        <w:color w:val="808080" w:themeColor="background1" w:themeShade="80"/>
        <w:sz w:val="14"/>
        <w:szCs w:val="14"/>
      </w:rPr>
      <w:t>ª</w:t>
    </w:r>
    <w:r w:rsidRPr="002B29B3">
      <w:rPr>
        <w:b/>
        <w:color w:val="808080" w:themeColor="background1" w:themeShade="80"/>
        <w:sz w:val="14"/>
        <w:szCs w:val="14"/>
      </w:rPr>
      <w:t xml:space="preserve"> - 08008 Barcelona</w:t>
    </w:r>
    <w:r>
      <w:rPr>
        <w:b/>
        <w:color w:val="808080" w:themeColor="background1" w:themeShade="80"/>
        <w:sz w:val="18"/>
        <w:szCs w:val="14"/>
      </w:rPr>
      <w:t xml:space="preserve"> </w:t>
    </w:r>
    <w:r w:rsidRPr="002B29B3">
      <w:rPr>
        <w:color w:val="808080" w:themeColor="background1" w:themeShade="80"/>
        <w:sz w:val="14"/>
        <w:szCs w:val="14"/>
      </w:rPr>
      <w:t>T</w:t>
    </w:r>
    <w:r w:rsidRPr="002B29B3">
      <w:rPr>
        <w:color w:val="808080" w:themeColor="background1" w:themeShade="80"/>
        <w:sz w:val="14"/>
        <w:szCs w:val="14"/>
      </w:rPr>
      <w:t>é</w:t>
    </w:r>
    <w:r w:rsidRPr="002B29B3">
      <w:rPr>
        <w:color w:val="808080" w:themeColor="background1" w:themeShade="80"/>
        <w:sz w:val="14"/>
        <w:szCs w:val="14"/>
      </w:rPr>
      <w:t>l</w:t>
    </w:r>
    <w:r w:rsidRPr="002B29B3">
      <w:rPr>
        <w:color w:val="808080" w:themeColor="background1" w:themeShade="80"/>
        <w:sz w:val="14"/>
        <w:szCs w:val="14"/>
      </w:rPr>
      <w:t> </w:t>
    </w:r>
    <w:r w:rsidRPr="002B29B3">
      <w:rPr>
        <w:color w:val="808080" w:themeColor="background1" w:themeShade="80"/>
        <w:sz w:val="14"/>
        <w:szCs w:val="14"/>
      </w:rPr>
      <w:t>: +3</w:t>
    </w:r>
    <w:r>
      <w:rPr>
        <w:color w:val="808080" w:themeColor="background1" w:themeShade="80"/>
        <w:sz w:val="14"/>
        <w:szCs w:val="14"/>
      </w:rPr>
      <w:t>4</w:t>
    </w:r>
    <w:r>
      <w:rPr>
        <w:color w:val="808080" w:themeColor="background1" w:themeShade="80"/>
        <w:sz w:val="14"/>
        <w:szCs w:val="14"/>
      </w:rPr>
      <w:t> </w:t>
    </w:r>
    <w:r>
      <w:rPr>
        <w:color w:val="808080" w:themeColor="background1" w:themeShade="80"/>
        <w:sz w:val="14"/>
        <w:szCs w:val="14"/>
      </w:rPr>
      <w:t>685</w:t>
    </w:r>
    <w:r>
      <w:rPr>
        <w:color w:val="808080" w:themeColor="background1" w:themeShade="80"/>
        <w:sz w:val="14"/>
        <w:szCs w:val="14"/>
      </w:rPr>
      <w:t> </w:t>
    </w:r>
    <w:r>
      <w:rPr>
        <w:color w:val="808080" w:themeColor="background1" w:themeShade="80"/>
        <w:sz w:val="14"/>
        <w:szCs w:val="14"/>
      </w:rPr>
      <w:t>738 192</w:t>
    </w:r>
    <w:r>
      <w:rPr>
        <w:b/>
        <w:color w:val="808080" w:themeColor="background1" w:themeShade="80"/>
        <w:sz w:val="18"/>
        <w:szCs w:val="14"/>
      </w:rPr>
      <w:t xml:space="preserve"> </w:t>
    </w:r>
    <w:proofErr w:type="gramStart"/>
    <w:r>
      <w:rPr>
        <w:color w:val="808080" w:themeColor="background1" w:themeShade="80"/>
        <w:sz w:val="14"/>
        <w:szCs w:val="14"/>
      </w:rPr>
      <w:t>Mail</w:t>
    </w:r>
    <w:r w:rsidRPr="002B29B3">
      <w:rPr>
        <w:color w:val="808080" w:themeColor="background1" w:themeShade="80"/>
        <w:sz w:val="14"/>
        <w:szCs w:val="14"/>
      </w:rPr>
      <w:t>:</w:t>
    </w:r>
    <w:proofErr w:type="gramEnd"/>
    <w:r w:rsidRPr="002B29B3">
      <w:rPr>
        <w:color w:val="808080" w:themeColor="background1" w:themeShade="80"/>
        <w:sz w:val="14"/>
        <w:szCs w:val="14"/>
      </w:rPr>
      <w:t xml:space="preserve"> </w:t>
    </w:r>
    <w:hyperlink r:id="rId2" w:history="1">
      <w:r w:rsidRPr="00EE026A">
        <w:rPr>
          <w:rStyle w:val="Lienhypertexte"/>
          <w:sz w:val="14"/>
          <w:szCs w:val="14"/>
        </w:rPr>
        <w:t>callcenter@mt-solutions.es</w:t>
      </w:r>
    </w:hyperlink>
  </w:p>
  <w:p w14:paraId="4CC79ADF" w14:textId="77777777" w:rsidR="00E04D00" w:rsidRPr="00D229E0" w:rsidRDefault="00E04D00" w:rsidP="00E04D00">
    <w:pPr>
      <w:pStyle w:val="Explorateurdedocuments"/>
      <w:jc w:val="both"/>
      <w:rPr>
        <w:b/>
        <w:color w:val="808080" w:themeColor="background1" w:themeShade="80"/>
        <w:sz w:val="18"/>
        <w:szCs w:val="14"/>
      </w:rPr>
    </w:pPr>
    <w:r w:rsidRPr="00D229E0">
      <w:rPr>
        <w:b/>
        <w:color w:val="808080" w:themeColor="background1" w:themeShade="80"/>
        <w:sz w:val="18"/>
        <w:szCs w:val="14"/>
      </w:rPr>
      <w:t>Guin</w:t>
    </w:r>
    <w:r w:rsidRPr="00D229E0">
      <w:rPr>
        <w:rFonts w:asciiTheme="minorHAnsi" w:hAnsiTheme="minorHAnsi"/>
        <w:b/>
        <w:color w:val="808080" w:themeColor="background1" w:themeShade="80"/>
        <w:sz w:val="18"/>
        <w:szCs w:val="14"/>
      </w:rPr>
      <w:t>é</w:t>
    </w:r>
    <w:r w:rsidRPr="00D229E0">
      <w:rPr>
        <w:b/>
        <w:color w:val="808080" w:themeColor="background1" w:themeShade="80"/>
        <w:sz w:val="18"/>
        <w:szCs w:val="14"/>
      </w:rPr>
      <w:t>e Conakry</w:t>
    </w:r>
  </w:p>
  <w:p w14:paraId="208D4D42" w14:textId="77777777" w:rsidR="00E04D00" w:rsidRPr="0073351A" w:rsidRDefault="00E04D00" w:rsidP="00E04D00">
    <w:pPr>
      <w:spacing w:after="0" w:line="240" w:lineRule="auto"/>
      <w:rPr>
        <w:rFonts w:ascii="Calibri" w:eastAsia="Times New Roman" w:hAnsi="Tahoma" w:cs="Times New Roman"/>
        <w:color w:val="808080" w:themeColor="background1" w:themeShade="80"/>
        <w:sz w:val="14"/>
        <w:szCs w:val="14"/>
      </w:rPr>
    </w:pPr>
    <w:proofErr w:type="spellStart"/>
    <w:r>
      <w:rPr>
        <w:rFonts w:ascii="Calibri" w:eastAsia="Times New Roman" w:hAnsi="Tahoma" w:cs="Times New Roman"/>
        <w:color w:val="808080" w:themeColor="background1" w:themeShade="80"/>
        <w:sz w:val="14"/>
        <w:szCs w:val="14"/>
      </w:rPr>
      <w:t>Col</w:t>
    </w:r>
    <w:r>
      <w:rPr>
        <w:rFonts w:ascii="Calibri" w:eastAsia="Times New Roman" w:hAnsi="Tahoma" w:cs="Times New Roman"/>
        <w:color w:val="808080" w:themeColor="background1" w:themeShade="80"/>
        <w:sz w:val="14"/>
        <w:szCs w:val="14"/>
      </w:rPr>
      <w:t>é</w:t>
    </w:r>
    <w:r>
      <w:rPr>
        <w:rFonts w:ascii="Calibri" w:eastAsia="Times New Roman" w:hAnsi="Tahoma" w:cs="Times New Roman"/>
        <w:color w:val="808080" w:themeColor="background1" w:themeShade="80"/>
        <w:sz w:val="14"/>
        <w:szCs w:val="14"/>
      </w:rPr>
      <w:t>ahTerasse</w:t>
    </w:r>
    <w:proofErr w:type="spellEnd"/>
    <w:r>
      <w:rPr>
        <w:rFonts w:ascii="Calibri" w:eastAsia="Times New Roman" w:hAnsi="Tahoma" w:cs="Times New Roman"/>
        <w:color w:val="808080" w:themeColor="background1" w:themeShade="80"/>
        <w:sz w:val="14"/>
        <w:szCs w:val="14"/>
      </w:rPr>
      <w:t xml:space="preserve">, Rue MA.004 </w:t>
    </w:r>
    <w:r w:rsidRPr="00FA2314">
      <w:rPr>
        <w:rFonts w:ascii="Calibri" w:eastAsia="Times New Roman" w:hAnsi="Tahoma" w:cs="Times New Roman"/>
        <w:color w:val="808080" w:themeColor="background1" w:themeShade="80"/>
        <w:sz w:val="14"/>
        <w:szCs w:val="14"/>
      </w:rPr>
      <w:t xml:space="preserve">Commune de </w:t>
    </w:r>
    <w:r>
      <w:rPr>
        <w:rFonts w:ascii="Calibri" w:eastAsia="Times New Roman" w:hAnsi="Tahoma" w:cs="Times New Roman"/>
        <w:color w:val="808080" w:themeColor="background1" w:themeShade="80"/>
        <w:sz w:val="14"/>
        <w:szCs w:val="14"/>
      </w:rPr>
      <w:t xml:space="preserve">Matam </w:t>
    </w:r>
    <w:r w:rsidRPr="00FA2314">
      <w:rPr>
        <w:rFonts w:ascii="Calibri" w:eastAsia="Times New Roman" w:hAnsi="Tahoma" w:cs="Times New Roman"/>
        <w:color w:val="808080" w:themeColor="background1" w:themeShade="80"/>
        <w:sz w:val="14"/>
        <w:szCs w:val="14"/>
      </w:rPr>
      <w:t>R</w:t>
    </w:r>
    <w:r w:rsidRPr="00FA2314">
      <w:rPr>
        <w:rFonts w:ascii="Calibri" w:eastAsia="Times New Roman" w:hAnsi="Tahoma" w:cs="Times New Roman"/>
        <w:color w:val="808080" w:themeColor="background1" w:themeShade="80"/>
        <w:sz w:val="14"/>
        <w:szCs w:val="14"/>
      </w:rPr>
      <w:t>é</w:t>
    </w:r>
    <w:r w:rsidRPr="00FA2314">
      <w:rPr>
        <w:rFonts w:ascii="Calibri" w:eastAsia="Times New Roman" w:hAnsi="Tahoma" w:cs="Times New Roman"/>
        <w:color w:val="808080" w:themeColor="background1" w:themeShade="80"/>
        <w:sz w:val="14"/>
        <w:szCs w:val="14"/>
      </w:rPr>
      <w:t>publique de Guin</w:t>
    </w:r>
    <w:r w:rsidRPr="00FA2314">
      <w:rPr>
        <w:rFonts w:eastAsia="Times New Roman" w:cs="Times New Roman"/>
        <w:color w:val="808080" w:themeColor="background1" w:themeShade="80"/>
        <w:sz w:val="14"/>
        <w:szCs w:val="14"/>
      </w:rPr>
      <w:t>ée</w:t>
    </w:r>
    <w:r>
      <w:rPr>
        <w:rFonts w:ascii="Calibri" w:eastAsia="Times New Roman" w:hAnsi="Tahoma" w:cs="Times New Roman"/>
        <w:color w:val="808080" w:themeColor="background1" w:themeShade="80"/>
        <w:sz w:val="14"/>
        <w:szCs w:val="14"/>
      </w:rPr>
      <w:t xml:space="preserve"> </w:t>
    </w:r>
    <w:r w:rsidRPr="002B29B3">
      <w:rPr>
        <w:color w:val="808080" w:themeColor="background1" w:themeShade="80"/>
        <w:sz w:val="14"/>
        <w:szCs w:val="14"/>
      </w:rPr>
      <w:t xml:space="preserve">Tél : </w:t>
    </w:r>
    <w:r>
      <w:rPr>
        <w:rFonts w:ascii="Calibri" w:eastAsia="Times New Roman" w:hAnsi="Tahoma" w:cs="Times New Roman"/>
        <w:color w:val="808080" w:themeColor="background1" w:themeShade="80"/>
        <w:sz w:val="14"/>
        <w:szCs w:val="14"/>
      </w:rPr>
      <w:t xml:space="preserve">+224 623 64 64 55 </w:t>
    </w:r>
    <w:proofErr w:type="gramStart"/>
    <w:r>
      <w:rPr>
        <w:color w:val="808080" w:themeColor="background1" w:themeShade="80"/>
        <w:sz w:val="14"/>
        <w:szCs w:val="14"/>
      </w:rPr>
      <w:t>Mail:</w:t>
    </w:r>
    <w:proofErr w:type="gramEnd"/>
    <w:r>
      <w:rPr>
        <w:color w:val="808080" w:themeColor="background1" w:themeShade="80"/>
        <w:sz w:val="14"/>
        <w:szCs w:val="14"/>
      </w:rPr>
      <w:t xml:space="preserve"> </w:t>
    </w:r>
    <w:hyperlink r:id="rId3" w:history="1">
      <w:r w:rsidRPr="00EE026A">
        <w:rPr>
          <w:rStyle w:val="Lienhypertexte"/>
          <w:sz w:val="14"/>
          <w:szCs w:val="14"/>
        </w:rPr>
        <w:t>callcenter@mt-solutions.africa</w:t>
      </w:r>
    </w:hyperlink>
    <w:r>
      <w:rPr>
        <w:rFonts w:ascii="Calibri" w:eastAsia="Times New Roman" w:hAnsi="Tahoma" w:cs="Times New Roman"/>
        <w:color w:val="808080" w:themeColor="background1" w:themeShade="80"/>
        <w:sz w:val="14"/>
        <w:szCs w:val="14"/>
      </w:rPr>
      <w:t xml:space="preserve"> </w:t>
    </w:r>
    <w:r>
      <w:rPr>
        <w:color w:val="808080" w:themeColor="background1" w:themeShade="80"/>
        <w:sz w:val="14"/>
        <w:szCs w:val="14"/>
      </w:rPr>
      <w:t>NIF 022660T</w:t>
    </w:r>
  </w:p>
  <w:p w14:paraId="67D99432" w14:textId="77777777" w:rsidR="00E04D00" w:rsidRDefault="00E04D00" w:rsidP="00E04D00">
    <w:pPr>
      <w:pStyle w:val="Explorateurdedocuments"/>
      <w:jc w:val="both"/>
      <w:rPr>
        <w:color w:val="808080" w:themeColor="background1" w:themeShade="80"/>
        <w:sz w:val="14"/>
        <w:szCs w:val="14"/>
      </w:rPr>
    </w:pPr>
  </w:p>
  <w:p w14:paraId="21173D59" w14:textId="77777777" w:rsidR="00E04D00" w:rsidRPr="002B29B3" w:rsidRDefault="00E04D00" w:rsidP="00E04D00">
    <w:pPr>
      <w:pStyle w:val="Explorateurdedocuments"/>
      <w:jc w:val="both"/>
      <w:rPr>
        <w:color w:val="808080" w:themeColor="background1" w:themeShade="80"/>
        <w:sz w:val="14"/>
        <w:szCs w:val="14"/>
      </w:rPr>
    </w:pPr>
  </w:p>
  <w:p w14:paraId="0ACC9CF7" w14:textId="77777777" w:rsidR="00E04D00" w:rsidRDefault="00E04D0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5836B" w14:textId="77777777" w:rsidR="00EA40FD" w:rsidRDefault="00EA40FD" w:rsidP="003F3077">
      <w:pPr>
        <w:spacing w:after="0" w:line="240" w:lineRule="auto"/>
      </w:pPr>
      <w:r>
        <w:separator/>
      </w:r>
    </w:p>
  </w:footnote>
  <w:footnote w:type="continuationSeparator" w:id="0">
    <w:p w14:paraId="3CA69F02" w14:textId="77777777" w:rsidR="00EA40FD" w:rsidRDefault="00EA40FD" w:rsidP="003F30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7D161" w14:textId="3C434B21" w:rsidR="003F3077" w:rsidRDefault="003F3077">
    <w:pPr>
      <w:pStyle w:val="En-tte"/>
    </w:pPr>
    <w:r>
      <w:rPr>
        <w:noProof/>
        <w14:ligatures w14:val="standardContextual"/>
      </w:rPr>
      <w:drawing>
        <wp:anchor distT="0" distB="0" distL="114300" distR="114300" simplePos="0" relativeHeight="251658240" behindDoc="1" locked="0" layoutInCell="1" allowOverlap="1" wp14:anchorId="7CA5F6AB" wp14:editId="6B080CD7">
          <wp:simplePos x="0" y="0"/>
          <wp:positionH relativeFrom="margin">
            <wp:posOffset>-685800</wp:posOffset>
          </wp:positionH>
          <wp:positionV relativeFrom="paragraph">
            <wp:posOffset>-373380</wp:posOffset>
          </wp:positionV>
          <wp:extent cx="2028825" cy="895350"/>
          <wp:effectExtent l="0" t="0" r="9525" b="0"/>
          <wp:wrapTight wrapText="bothSides">
            <wp:wrapPolygon edited="0">
              <wp:start x="0" y="0"/>
              <wp:lineTo x="0" y="21140"/>
              <wp:lineTo x="21499" y="21140"/>
              <wp:lineTo x="21499" y="0"/>
              <wp:lineTo x="0" y="0"/>
            </wp:wrapPolygon>
          </wp:wrapTight>
          <wp:docPr id="9793409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40939" name="Image 979340939"/>
                  <pic:cNvPicPr/>
                </pic:nvPicPr>
                <pic:blipFill>
                  <a:blip r:embed="rId1">
                    <a:extLst>
                      <a:ext uri="{28A0092B-C50C-407E-A947-70E740481C1C}">
                        <a14:useLocalDpi xmlns:a14="http://schemas.microsoft.com/office/drawing/2010/main" val="0"/>
                      </a:ext>
                    </a:extLst>
                  </a:blip>
                  <a:stretch>
                    <a:fillRect/>
                  </a:stretch>
                </pic:blipFill>
                <pic:spPr>
                  <a:xfrm>
                    <a:off x="0" y="0"/>
                    <a:ext cx="2028825" cy="8953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2D32"/>
    <w:multiLevelType w:val="multilevel"/>
    <w:tmpl w:val="2E06E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95F24"/>
    <w:multiLevelType w:val="multilevel"/>
    <w:tmpl w:val="56741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B41D1"/>
    <w:multiLevelType w:val="hybridMultilevel"/>
    <w:tmpl w:val="816231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44A7091"/>
    <w:multiLevelType w:val="multilevel"/>
    <w:tmpl w:val="50F08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E40574"/>
    <w:multiLevelType w:val="hybridMultilevel"/>
    <w:tmpl w:val="AF248556"/>
    <w:lvl w:ilvl="0" w:tplc="040C0001">
      <w:start w:val="1"/>
      <w:numFmt w:val="bullet"/>
      <w:lvlText w:val=""/>
      <w:lvlJc w:val="left"/>
      <w:pPr>
        <w:ind w:left="915" w:hanging="360"/>
      </w:pPr>
      <w:rPr>
        <w:rFonts w:ascii="Symbol" w:hAnsi="Symbol" w:hint="default"/>
      </w:rPr>
    </w:lvl>
    <w:lvl w:ilvl="1" w:tplc="040C0003" w:tentative="1">
      <w:start w:val="1"/>
      <w:numFmt w:val="bullet"/>
      <w:lvlText w:val="o"/>
      <w:lvlJc w:val="left"/>
      <w:pPr>
        <w:ind w:left="1635" w:hanging="360"/>
      </w:pPr>
      <w:rPr>
        <w:rFonts w:ascii="Courier New" w:hAnsi="Courier New" w:cs="Courier New" w:hint="default"/>
      </w:rPr>
    </w:lvl>
    <w:lvl w:ilvl="2" w:tplc="040C0005" w:tentative="1">
      <w:start w:val="1"/>
      <w:numFmt w:val="bullet"/>
      <w:lvlText w:val=""/>
      <w:lvlJc w:val="left"/>
      <w:pPr>
        <w:ind w:left="2355" w:hanging="360"/>
      </w:pPr>
      <w:rPr>
        <w:rFonts w:ascii="Wingdings" w:hAnsi="Wingdings" w:hint="default"/>
      </w:rPr>
    </w:lvl>
    <w:lvl w:ilvl="3" w:tplc="040C0001" w:tentative="1">
      <w:start w:val="1"/>
      <w:numFmt w:val="bullet"/>
      <w:lvlText w:val=""/>
      <w:lvlJc w:val="left"/>
      <w:pPr>
        <w:ind w:left="3075" w:hanging="360"/>
      </w:pPr>
      <w:rPr>
        <w:rFonts w:ascii="Symbol" w:hAnsi="Symbol" w:hint="default"/>
      </w:rPr>
    </w:lvl>
    <w:lvl w:ilvl="4" w:tplc="040C0003" w:tentative="1">
      <w:start w:val="1"/>
      <w:numFmt w:val="bullet"/>
      <w:lvlText w:val="o"/>
      <w:lvlJc w:val="left"/>
      <w:pPr>
        <w:ind w:left="3795" w:hanging="360"/>
      </w:pPr>
      <w:rPr>
        <w:rFonts w:ascii="Courier New" w:hAnsi="Courier New" w:cs="Courier New" w:hint="default"/>
      </w:rPr>
    </w:lvl>
    <w:lvl w:ilvl="5" w:tplc="040C0005" w:tentative="1">
      <w:start w:val="1"/>
      <w:numFmt w:val="bullet"/>
      <w:lvlText w:val=""/>
      <w:lvlJc w:val="left"/>
      <w:pPr>
        <w:ind w:left="4515" w:hanging="360"/>
      </w:pPr>
      <w:rPr>
        <w:rFonts w:ascii="Wingdings" w:hAnsi="Wingdings" w:hint="default"/>
      </w:rPr>
    </w:lvl>
    <w:lvl w:ilvl="6" w:tplc="040C0001" w:tentative="1">
      <w:start w:val="1"/>
      <w:numFmt w:val="bullet"/>
      <w:lvlText w:val=""/>
      <w:lvlJc w:val="left"/>
      <w:pPr>
        <w:ind w:left="5235" w:hanging="360"/>
      </w:pPr>
      <w:rPr>
        <w:rFonts w:ascii="Symbol" w:hAnsi="Symbol" w:hint="default"/>
      </w:rPr>
    </w:lvl>
    <w:lvl w:ilvl="7" w:tplc="040C0003" w:tentative="1">
      <w:start w:val="1"/>
      <w:numFmt w:val="bullet"/>
      <w:lvlText w:val="o"/>
      <w:lvlJc w:val="left"/>
      <w:pPr>
        <w:ind w:left="5955" w:hanging="360"/>
      </w:pPr>
      <w:rPr>
        <w:rFonts w:ascii="Courier New" w:hAnsi="Courier New" w:cs="Courier New" w:hint="default"/>
      </w:rPr>
    </w:lvl>
    <w:lvl w:ilvl="8" w:tplc="040C0005" w:tentative="1">
      <w:start w:val="1"/>
      <w:numFmt w:val="bullet"/>
      <w:lvlText w:val=""/>
      <w:lvlJc w:val="left"/>
      <w:pPr>
        <w:ind w:left="6675" w:hanging="360"/>
      </w:pPr>
      <w:rPr>
        <w:rFonts w:ascii="Wingdings" w:hAnsi="Wingdings" w:hint="default"/>
      </w:rPr>
    </w:lvl>
  </w:abstractNum>
  <w:abstractNum w:abstractNumId="5" w15:restartNumberingAfterBreak="0">
    <w:nsid w:val="3CE26A06"/>
    <w:multiLevelType w:val="hybridMultilevel"/>
    <w:tmpl w:val="804EAF7A"/>
    <w:lvl w:ilvl="0" w:tplc="040C0001">
      <w:start w:val="1"/>
      <w:numFmt w:val="bullet"/>
      <w:lvlText w:val=""/>
      <w:lvlJc w:val="left"/>
      <w:pPr>
        <w:ind w:left="1020" w:hanging="360"/>
      </w:pPr>
      <w:rPr>
        <w:rFonts w:ascii="Symbol" w:hAnsi="Symbol" w:hint="default"/>
      </w:rPr>
    </w:lvl>
    <w:lvl w:ilvl="1" w:tplc="040C0003" w:tentative="1">
      <w:start w:val="1"/>
      <w:numFmt w:val="bullet"/>
      <w:lvlText w:val="o"/>
      <w:lvlJc w:val="left"/>
      <w:pPr>
        <w:ind w:left="1740" w:hanging="360"/>
      </w:pPr>
      <w:rPr>
        <w:rFonts w:ascii="Courier New" w:hAnsi="Courier New" w:cs="Courier New" w:hint="default"/>
      </w:rPr>
    </w:lvl>
    <w:lvl w:ilvl="2" w:tplc="040C0005" w:tentative="1">
      <w:start w:val="1"/>
      <w:numFmt w:val="bullet"/>
      <w:lvlText w:val=""/>
      <w:lvlJc w:val="left"/>
      <w:pPr>
        <w:ind w:left="2460" w:hanging="360"/>
      </w:pPr>
      <w:rPr>
        <w:rFonts w:ascii="Wingdings" w:hAnsi="Wingdings" w:hint="default"/>
      </w:rPr>
    </w:lvl>
    <w:lvl w:ilvl="3" w:tplc="040C0001" w:tentative="1">
      <w:start w:val="1"/>
      <w:numFmt w:val="bullet"/>
      <w:lvlText w:val=""/>
      <w:lvlJc w:val="left"/>
      <w:pPr>
        <w:ind w:left="3180" w:hanging="360"/>
      </w:pPr>
      <w:rPr>
        <w:rFonts w:ascii="Symbol" w:hAnsi="Symbol" w:hint="default"/>
      </w:rPr>
    </w:lvl>
    <w:lvl w:ilvl="4" w:tplc="040C0003" w:tentative="1">
      <w:start w:val="1"/>
      <w:numFmt w:val="bullet"/>
      <w:lvlText w:val="o"/>
      <w:lvlJc w:val="left"/>
      <w:pPr>
        <w:ind w:left="3900" w:hanging="360"/>
      </w:pPr>
      <w:rPr>
        <w:rFonts w:ascii="Courier New" w:hAnsi="Courier New" w:cs="Courier New" w:hint="default"/>
      </w:rPr>
    </w:lvl>
    <w:lvl w:ilvl="5" w:tplc="040C0005" w:tentative="1">
      <w:start w:val="1"/>
      <w:numFmt w:val="bullet"/>
      <w:lvlText w:val=""/>
      <w:lvlJc w:val="left"/>
      <w:pPr>
        <w:ind w:left="4620" w:hanging="360"/>
      </w:pPr>
      <w:rPr>
        <w:rFonts w:ascii="Wingdings" w:hAnsi="Wingdings" w:hint="default"/>
      </w:rPr>
    </w:lvl>
    <w:lvl w:ilvl="6" w:tplc="040C0001" w:tentative="1">
      <w:start w:val="1"/>
      <w:numFmt w:val="bullet"/>
      <w:lvlText w:val=""/>
      <w:lvlJc w:val="left"/>
      <w:pPr>
        <w:ind w:left="5340" w:hanging="360"/>
      </w:pPr>
      <w:rPr>
        <w:rFonts w:ascii="Symbol" w:hAnsi="Symbol" w:hint="default"/>
      </w:rPr>
    </w:lvl>
    <w:lvl w:ilvl="7" w:tplc="040C0003" w:tentative="1">
      <w:start w:val="1"/>
      <w:numFmt w:val="bullet"/>
      <w:lvlText w:val="o"/>
      <w:lvlJc w:val="left"/>
      <w:pPr>
        <w:ind w:left="6060" w:hanging="360"/>
      </w:pPr>
      <w:rPr>
        <w:rFonts w:ascii="Courier New" w:hAnsi="Courier New" w:cs="Courier New" w:hint="default"/>
      </w:rPr>
    </w:lvl>
    <w:lvl w:ilvl="8" w:tplc="040C0005" w:tentative="1">
      <w:start w:val="1"/>
      <w:numFmt w:val="bullet"/>
      <w:lvlText w:val=""/>
      <w:lvlJc w:val="left"/>
      <w:pPr>
        <w:ind w:left="6780" w:hanging="360"/>
      </w:pPr>
      <w:rPr>
        <w:rFonts w:ascii="Wingdings" w:hAnsi="Wingdings" w:hint="default"/>
      </w:rPr>
    </w:lvl>
  </w:abstractNum>
  <w:abstractNum w:abstractNumId="6" w15:restartNumberingAfterBreak="0">
    <w:nsid w:val="739315B4"/>
    <w:multiLevelType w:val="hybridMultilevel"/>
    <w:tmpl w:val="C360C9F0"/>
    <w:lvl w:ilvl="0" w:tplc="040C0001">
      <w:start w:val="1"/>
      <w:numFmt w:val="bullet"/>
      <w:lvlText w:val=""/>
      <w:lvlJc w:val="left"/>
      <w:pPr>
        <w:ind w:left="2040" w:hanging="360"/>
      </w:pPr>
      <w:rPr>
        <w:rFonts w:ascii="Symbol" w:hAnsi="Symbol" w:hint="default"/>
      </w:rPr>
    </w:lvl>
    <w:lvl w:ilvl="1" w:tplc="040C0003" w:tentative="1">
      <w:start w:val="1"/>
      <w:numFmt w:val="bullet"/>
      <w:lvlText w:val="o"/>
      <w:lvlJc w:val="left"/>
      <w:pPr>
        <w:ind w:left="2760" w:hanging="360"/>
      </w:pPr>
      <w:rPr>
        <w:rFonts w:ascii="Courier New" w:hAnsi="Courier New" w:cs="Courier New" w:hint="default"/>
      </w:rPr>
    </w:lvl>
    <w:lvl w:ilvl="2" w:tplc="040C0005" w:tentative="1">
      <w:start w:val="1"/>
      <w:numFmt w:val="bullet"/>
      <w:lvlText w:val=""/>
      <w:lvlJc w:val="left"/>
      <w:pPr>
        <w:ind w:left="3480" w:hanging="360"/>
      </w:pPr>
      <w:rPr>
        <w:rFonts w:ascii="Wingdings" w:hAnsi="Wingdings" w:hint="default"/>
      </w:rPr>
    </w:lvl>
    <w:lvl w:ilvl="3" w:tplc="040C0001" w:tentative="1">
      <w:start w:val="1"/>
      <w:numFmt w:val="bullet"/>
      <w:lvlText w:val=""/>
      <w:lvlJc w:val="left"/>
      <w:pPr>
        <w:ind w:left="4200" w:hanging="360"/>
      </w:pPr>
      <w:rPr>
        <w:rFonts w:ascii="Symbol" w:hAnsi="Symbol" w:hint="default"/>
      </w:rPr>
    </w:lvl>
    <w:lvl w:ilvl="4" w:tplc="040C0003" w:tentative="1">
      <w:start w:val="1"/>
      <w:numFmt w:val="bullet"/>
      <w:lvlText w:val="o"/>
      <w:lvlJc w:val="left"/>
      <w:pPr>
        <w:ind w:left="4920" w:hanging="360"/>
      </w:pPr>
      <w:rPr>
        <w:rFonts w:ascii="Courier New" w:hAnsi="Courier New" w:cs="Courier New" w:hint="default"/>
      </w:rPr>
    </w:lvl>
    <w:lvl w:ilvl="5" w:tplc="040C0005" w:tentative="1">
      <w:start w:val="1"/>
      <w:numFmt w:val="bullet"/>
      <w:lvlText w:val=""/>
      <w:lvlJc w:val="left"/>
      <w:pPr>
        <w:ind w:left="5640" w:hanging="360"/>
      </w:pPr>
      <w:rPr>
        <w:rFonts w:ascii="Wingdings" w:hAnsi="Wingdings" w:hint="default"/>
      </w:rPr>
    </w:lvl>
    <w:lvl w:ilvl="6" w:tplc="040C0001" w:tentative="1">
      <w:start w:val="1"/>
      <w:numFmt w:val="bullet"/>
      <w:lvlText w:val=""/>
      <w:lvlJc w:val="left"/>
      <w:pPr>
        <w:ind w:left="6360" w:hanging="360"/>
      </w:pPr>
      <w:rPr>
        <w:rFonts w:ascii="Symbol" w:hAnsi="Symbol" w:hint="default"/>
      </w:rPr>
    </w:lvl>
    <w:lvl w:ilvl="7" w:tplc="040C0003" w:tentative="1">
      <w:start w:val="1"/>
      <w:numFmt w:val="bullet"/>
      <w:lvlText w:val="o"/>
      <w:lvlJc w:val="left"/>
      <w:pPr>
        <w:ind w:left="7080" w:hanging="360"/>
      </w:pPr>
      <w:rPr>
        <w:rFonts w:ascii="Courier New" w:hAnsi="Courier New" w:cs="Courier New" w:hint="default"/>
      </w:rPr>
    </w:lvl>
    <w:lvl w:ilvl="8" w:tplc="040C0005" w:tentative="1">
      <w:start w:val="1"/>
      <w:numFmt w:val="bullet"/>
      <w:lvlText w:val=""/>
      <w:lvlJc w:val="left"/>
      <w:pPr>
        <w:ind w:left="7800" w:hanging="360"/>
      </w:pPr>
      <w:rPr>
        <w:rFonts w:ascii="Wingdings" w:hAnsi="Wingdings" w:hint="default"/>
      </w:rPr>
    </w:lvl>
  </w:abstractNum>
  <w:abstractNum w:abstractNumId="7" w15:restartNumberingAfterBreak="0">
    <w:nsid w:val="7F510EF9"/>
    <w:multiLevelType w:val="multilevel"/>
    <w:tmpl w:val="1DB89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BA589E"/>
    <w:multiLevelType w:val="hybridMultilevel"/>
    <w:tmpl w:val="F0CEAF72"/>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56716474">
    <w:abstractNumId w:val="8"/>
  </w:num>
  <w:num w:numId="2" w16cid:durableId="1036470394">
    <w:abstractNumId w:val="5"/>
  </w:num>
  <w:num w:numId="3" w16cid:durableId="1909075431">
    <w:abstractNumId w:val="4"/>
  </w:num>
  <w:num w:numId="4" w16cid:durableId="2035113299">
    <w:abstractNumId w:val="6"/>
  </w:num>
  <w:num w:numId="5" w16cid:durableId="2128696778">
    <w:abstractNumId w:val="1"/>
  </w:num>
  <w:num w:numId="6" w16cid:durableId="1213426662">
    <w:abstractNumId w:val="7"/>
  </w:num>
  <w:num w:numId="7" w16cid:durableId="266352443">
    <w:abstractNumId w:val="3"/>
  </w:num>
  <w:num w:numId="8" w16cid:durableId="1868642006">
    <w:abstractNumId w:val="0"/>
  </w:num>
  <w:num w:numId="9" w16cid:durableId="1229613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077"/>
    <w:rsid w:val="00064E0D"/>
    <w:rsid w:val="000D23AF"/>
    <w:rsid w:val="002E6EB2"/>
    <w:rsid w:val="003F3077"/>
    <w:rsid w:val="0043631F"/>
    <w:rsid w:val="004F4D46"/>
    <w:rsid w:val="0064771F"/>
    <w:rsid w:val="0094019F"/>
    <w:rsid w:val="009F2D12"/>
    <w:rsid w:val="00E04D00"/>
    <w:rsid w:val="00E92D15"/>
    <w:rsid w:val="00EA40FD"/>
    <w:rsid w:val="00F85B88"/>
    <w:rsid w:val="00FF6B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69EE2"/>
  <w15:chartTrackingRefBased/>
  <w15:docId w15:val="{CF40022D-781D-44CF-921E-10E86EE20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077"/>
    <w:pPr>
      <w:spacing w:after="200" w:line="276" w:lineRule="auto"/>
    </w:pPr>
    <w:rPr>
      <w:rFonts w:eastAsiaTheme="minorEastAsia"/>
      <w:kern w:val="0"/>
      <w:lang w:eastAsia="fr-FR"/>
      <w14:ligatures w14:val="none"/>
    </w:rPr>
  </w:style>
  <w:style w:type="paragraph" w:styleId="Titre1">
    <w:name w:val="heading 1"/>
    <w:basedOn w:val="Normal"/>
    <w:next w:val="Normal"/>
    <w:link w:val="Titre1Car"/>
    <w:uiPriority w:val="9"/>
    <w:qFormat/>
    <w:rsid w:val="003F30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3F30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3F307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3F307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F307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F307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F307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F307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F307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F307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3F307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3F307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3F307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F307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F307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F307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F307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F3077"/>
    <w:rPr>
      <w:rFonts w:eastAsiaTheme="majorEastAsia" w:cstheme="majorBidi"/>
      <w:color w:val="272727" w:themeColor="text1" w:themeTint="D8"/>
    </w:rPr>
  </w:style>
  <w:style w:type="paragraph" w:styleId="Titre">
    <w:name w:val="Title"/>
    <w:basedOn w:val="Normal"/>
    <w:next w:val="Normal"/>
    <w:link w:val="TitreCar"/>
    <w:uiPriority w:val="10"/>
    <w:qFormat/>
    <w:rsid w:val="003F30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F307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F307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F307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F3077"/>
    <w:pPr>
      <w:spacing w:before="160"/>
      <w:jc w:val="center"/>
    </w:pPr>
    <w:rPr>
      <w:i/>
      <w:iCs/>
      <w:color w:val="404040" w:themeColor="text1" w:themeTint="BF"/>
    </w:rPr>
  </w:style>
  <w:style w:type="character" w:customStyle="1" w:styleId="CitationCar">
    <w:name w:val="Citation Car"/>
    <w:basedOn w:val="Policepardfaut"/>
    <w:link w:val="Citation"/>
    <w:uiPriority w:val="29"/>
    <w:rsid w:val="003F3077"/>
    <w:rPr>
      <w:i/>
      <w:iCs/>
      <w:color w:val="404040" w:themeColor="text1" w:themeTint="BF"/>
    </w:rPr>
  </w:style>
  <w:style w:type="paragraph" w:styleId="Paragraphedeliste">
    <w:name w:val="List Paragraph"/>
    <w:basedOn w:val="Normal"/>
    <w:uiPriority w:val="34"/>
    <w:qFormat/>
    <w:rsid w:val="003F3077"/>
    <w:pPr>
      <w:ind w:left="720"/>
      <w:contextualSpacing/>
    </w:pPr>
  </w:style>
  <w:style w:type="character" w:styleId="Accentuationintense">
    <w:name w:val="Intense Emphasis"/>
    <w:basedOn w:val="Policepardfaut"/>
    <w:uiPriority w:val="21"/>
    <w:qFormat/>
    <w:rsid w:val="003F3077"/>
    <w:rPr>
      <w:i/>
      <w:iCs/>
      <w:color w:val="2F5496" w:themeColor="accent1" w:themeShade="BF"/>
    </w:rPr>
  </w:style>
  <w:style w:type="paragraph" w:styleId="Citationintense">
    <w:name w:val="Intense Quote"/>
    <w:basedOn w:val="Normal"/>
    <w:next w:val="Normal"/>
    <w:link w:val="CitationintenseCar"/>
    <w:uiPriority w:val="30"/>
    <w:qFormat/>
    <w:rsid w:val="003F30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F3077"/>
    <w:rPr>
      <w:i/>
      <w:iCs/>
      <w:color w:val="2F5496" w:themeColor="accent1" w:themeShade="BF"/>
    </w:rPr>
  </w:style>
  <w:style w:type="character" w:styleId="Rfrenceintense">
    <w:name w:val="Intense Reference"/>
    <w:basedOn w:val="Policepardfaut"/>
    <w:uiPriority w:val="32"/>
    <w:qFormat/>
    <w:rsid w:val="003F3077"/>
    <w:rPr>
      <w:b/>
      <w:bCs/>
      <w:smallCaps/>
      <w:color w:val="2F5496" w:themeColor="accent1" w:themeShade="BF"/>
      <w:spacing w:val="5"/>
    </w:rPr>
  </w:style>
  <w:style w:type="paragraph" w:styleId="Explorateurdedocuments">
    <w:name w:val="Document Map"/>
    <w:basedOn w:val="Normal"/>
    <w:link w:val="ExplorateurdedocumentsCar"/>
    <w:uiPriority w:val="99"/>
    <w:unhideWhenUsed/>
    <w:rsid w:val="003F3077"/>
    <w:pPr>
      <w:spacing w:after="0" w:line="240" w:lineRule="auto"/>
    </w:pPr>
    <w:rPr>
      <w:rFonts w:ascii="Calibri" w:eastAsia="Times New Roman" w:hAnsi="Tahoma" w:cs="Times New Roman"/>
      <w:sz w:val="16"/>
      <w:szCs w:val="16"/>
    </w:rPr>
  </w:style>
  <w:style w:type="character" w:customStyle="1" w:styleId="ExplorateurdedocumentsCar">
    <w:name w:val="Explorateur de documents Car"/>
    <w:basedOn w:val="Policepardfaut"/>
    <w:link w:val="Explorateurdedocuments"/>
    <w:uiPriority w:val="99"/>
    <w:rsid w:val="003F3077"/>
    <w:rPr>
      <w:rFonts w:ascii="Calibri" w:eastAsia="Times New Roman" w:hAnsi="Tahoma" w:cs="Times New Roman"/>
      <w:kern w:val="0"/>
      <w:sz w:val="16"/>
      <w:szCs w:val="16"/>
      <w:lang w:eastAsia="fr-FR"/>
      <w14:ligatures w14:val="none"/>
    </w:rPr>
  </w:style>
  <w:style w:type="paragraph" w:styleId="En-tte">
    <w:name w:val="header"/>
    <w:basedOn w:val="Normal"/>
    <w:link w:val="En-tteCar"/>
    <w:uiPriority w:val="99"/>
    <w:unhideWhenUsed/>
    <w:rsid w:val="003F3077"/>
    <w:pPr>
      <w:tabs>
        <w:tab w:val="center" w:pos="4536"/>
        <w:tab w:val="right" w:pos="9072"/>
      </w:tabs>
      <w:spacing w:after="0" w:line="240" w:lineRule="auto"/>
    </w:pPr>
  </w:style>
  <w:style w:type="character" w:customStyle="1" w:styleId="En-tteCar">
    <w:name w:val="En-tête Car"/>
    <w:basedOn w:val="Policepardfaut"/>
    <w:link w:val="En-tte"/>
    <w:uiPriority w:val="99"/>
    <w:rsid w:val="003F3077"/>
    <w:rPr>
      <w:rFonts w:eastAsiaTheme="minorEastAsia"/>
      <w:kern w:val="0"/>
      <w:lang w:eastAsia="fr-FR"/>
      <w14:ligatures w14:val="none"/>
    </w:rPr>
  </w:style>
  <w:style w:type="paragraph" w:styleId="Pieddepage">
    <w:name w:val="footer"/>
    <w:basedOn w:val="Normal"/>
    <w:link w:val="PieddepageCar"/>
    <w:uiPriority w:val="99"/>
    <w:unhideWhenUsed/>
    <w:rsid w:val="003F307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3077"/>
    <w:rPr>
      <w:rFonts w:eastAsiaTheme="minorEastAsia"/>
      <w:kern w:val="0"/>
      <w:lang w:eastAsia="fr-FR"/>
      <w14:ligatures w14:val="none"/>
    </w:rPr>
  </w:style>
  <w:style w:type="character" w:styleId="Lienhypertexte">
    <w:name w:val="Hyperlink"/>
    <w:basedOn w:val="Policepardfaut"/>
    <w:uiPriority w:val="99"/>
    <w:unhideWhenUsed/>
    <w:rsid w:val="009F2D12"/>
    <w:rPr>
      <w:color w:val="0563C1" w:themeColor="hyperlink"/>
      <w:u w:val="single"/>
    </w:rPr>
  </w:style>
  <w:style w:type="character" w:styleId="Mentionnonrsolue">
    <w:name w:val="Unresolved Mention"/>
    <w:basedOn w:val="Policepardfaut"/>
    <w:uiPriority w:val="99"/>
    <w:semiHidden/>
    <w:unhideWhenUsed/>
    <w:rsid w:val="009F2D12"/>
    <w:rPr>
      <w:color w:val="605E5C"/>
      <w:shd w:val="clear" w:color="auto" w:fill="E1DFDD"/>
    </w:rPr>
  </w:style>
  <w:style w:type="character" w:customStyle="1" w:styleId="Textedelespacerserv">
    <w:name w:val="Texte de l’espace réservé"/>
    <w:basedOn w:val="Policepardfaut"/>
    <w:uiPriority w:val="99"/>
    <w:semiHidden/>
    <w:rsid w:val="002E6EB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2%20696%20003%20637" TargetMode="External"/><Relationship Id="rId13" Type="http://schemas.openxmlformats.org/officeDocument/2006/relationships/hyperlink" Target="tel:2%20965%20604%20001"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tel:2%20696%20003%20637" TargetMode="External"/><Relationship Id="rId12" Type="http://schemas.openxmlformats.org/officeDocument/2006/relationships/hyperlink" Target="tel:269%20600%20364" TargetMode="External"/><Relationship Id="rId17" Type="http://schemas.openxmlformats.org/officeDocument/2006/relationships/hyperlink" Target="tel:2%20696%20003%20637" TargetMode="External"/><Relationship Id="rId2" Type="http://schemas.openxmlformats.org/officeDocument/2006/relationships/styles" Target="styles.xml"/><Relationship Id="rId16" Type="http://schemas.openxmlformats.org/officeDocument/2006/relationships/hyperlink" Target="tel:2%20626%20991%20679"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2%20696%20003%20637" TargetMode="External"/><Relationship Id="rId5" Type="http://schemas.openxmlformats.org/officeDocument/2006/relationships/footnotes" Target="footnotes.xml"/><Relationship Id="rId15" Type="http://schemas.openxmlformats.org/officeDocument/2006/relationships/hyperlink" Target="tel:2%20696%20003%20637" TargetMode="External"/><Relationship Id="rId10" Type="http://schemas.openxmlformats.org/officeDocument/2006/relationships/hyperlink" Target="tel:269%20600%20364"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tel:2%20696%20003%20637" TargetMode="External"/><Relationship Id="rId14" Type="http://schemas.openxmlformats.org/officeDocument/2006/relationships/hyperlink" Target="tel:69%20011%20958"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mailto:callcenter@mt-solutions.africa" TargetMode="External"/><Relationship Id="rId2" Type="http://schemas.openxmlformats.org/officeDocument/2006/relationships/hyperlink" Target="mailto:callcenter@mt-solutions.es" TargetMode="External"/><Relationship Id="rId1" Type="http://schemas.openxmlformats.org/officeDocument/2006/relationships/hyperlink" Target="mailto:callcenter@mt-solutions.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1180</Words>
  <Characters>6492</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 42, avenue Kléber - 75116 PARISTél : +33(0)1 47 80 25 93Fax : +33(0)1 47 80 27 09Mail : callcenter@mt-solutions.frRCS PARIS 451 940 407SIRET : 451 940 407 00039 APE 7111ZTVAFR 47 451 940 407EspañaMTS MANTENIMIENTO MULTITECNICO, S.L.UPaseo de Gracia, 101, 4º 1ª - 08008 BarcelonaTél : +34 685 738 192Mail: callcenter@mt-solutions.esC.I.F. : B67024406 Sociedad Limitada inscrita en el Registro Mercantil de BarcelonaTomo 45.964, Folio 216, Hoja B-505297 Guinée ConakryColéahTerasse, Rue MA.004Commune de MatamRépublique de GuinéeTél : +224 623 64 64 55Mail: callcenter@mt-solutions.africaNIF 022660T</dc:creator>
  <cp:keywords/>
  <dc:description/>
  <cp:lastModifiedBy>HP</cp:lastModifiedBy>
  <cp:revision>3</cp:revision>
  <cp:lastPrinted>2026-09-07T15:17:00Z</cp:lastPrinted>
  <dcterms:created xsi:type="dcterms:W3CDTF">2026-09-07T15:18:00Z</dcterms:created>
  <dcterms:modified xsi:type="dcterms:W3CDTF">2026-09-07T15:58:00Z</dcterms:modified>
</cp:coreProperties>
</file>